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0C" w:rsidRDefault="0093460C" w:rsidP="0093460C">
      <w:pPr>
        <w:rPr>
          <w:lang w:val="tt-RU"/>
        </w:rPr>
      </w:pPr>
    </w:p>
    <w:tbl>
      <w:tblPr>
        <w:tblW w:w="10173" w:type="dxa"/>
        <w:tblLook w:val="01E0"/>
      </w:tblPr>
      <w:tblGrid>
        <w:gridCol w:w="1406"/>
        <w:gridCol w:w="7066"/>
        <w:gridCol w:w="1701"/>
      </w:tblGrid>
      <w:tr w:rsidR="0093460C" w:rsidRPr="008525CB" w:rsidTr="004A67D6">
        <w:trPr>
          <w:trHeight w:val="4076"/>
        </w:trPr>
        <w:tc>
          <w:tcPr>
            <w:tcW w:w="1406" w:type="dxa"/>
          </w:tcPr>
          <w:p w:rsidR="0093460C" w:rsidRPr="004E69B5" w:rsidRDefault="0093460C" w:rsidP="00BE5C75">
            <w:pPr>
              <w:keepNext/>
              <w:rPr>
                <w:sz w:val="30"/>
                <w:szCs w:val="30"/>
              </w:rPr>
            </w:pPr>
          </w:p>
        </w:tc>
        <w:tc>
          <w:tcPr>
            <w:tcW w:w="7066" w:type="dxa"/>
          </w:tcPr>
          <w:p w:rsidR="0093460C" w:rsidRDefault="0093460C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93460C" w:rsidRDefault="0093460C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93460C" w:rsidRDefault="0093460C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93460C" w:rsidRDefault="0093460C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93460C" w:rsidRDefault="0093460C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5F6423" w:rsidRDefault="005F6423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5F6423" w:rsidRDefault="005F6423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701CC3" w:rsidRDefault="00701CC3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</w:p>
          <w:p w:rsidR="004A67D6" w:rsidRDefault="0093460C" w:rsidP="00BE5C75">
            <w:pPr>
              <w:keepNext/>
              <w:pBdr>
                <w:bottom w:val="single" w:sz="6" w:space="1" w:color="auto"/>
              </w:pBdr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lang w:val="tt-RU"/>
              </w:rPr>
            </w:pPr>
            <w:r w:rsidRPr="00505D85">
              <w:rPr>
                <w:sz w:val="30"/>
                <w:szCs w:val="30"/>
                <w:lang w:val="tt-RU"/>
              </w:rPr>
              <w:t>О.В.</w:t>
            </w:r>
            <w:r>
              <w:rPr>
                <w:sz w:val="30"/>
                <w:szCs w:val="30"/>
                <w:lang w:val="tt-RU"/>
              </w:rPr>
              <w:t> </w:t>
            </w:r>
            <w:r w:rsidRPr="00505D85">
              <w:rPr>
                <w:sz w:val="30"/>
                <w:szCs w:val="30"/>
                <w:lang w:val="tt-RU"/>
              </w:rPr>
              <w:t xml:space="preserve">Коробченконы Татарстан Республикасы Премьер-министры урынбасары – Татарстан Республикасы </w:t>
            </w:r>
            <w:r>
              <w:rPr>
                <w:sz w:val="30"/>
                <w:szCs w:val="30"/>
                <w:lang w:val="tt-RU"/>
              </w:rPr>
              <w:t>с</w:t>
            </w:r>
            <w:r w:rsidRPr="00505D85">
              <w:rPr>
                <w:sz w:val="30"/>
                <w:szCs w:val="30"/>
                <w:lang w:val="tt-RU"/>
              </w:rPr>
              <w:t>әнәгать һәм сәүдә министры итеп билгелә</w:t>
            </w:r>
            <w:r>
              <w:rPr>
                <w:sz w:val="30"/>
                <w:szCs w:val="30"/>
                <w:lang w:val="tt-RU"/>
              </w:rPr>
              <w:t>п куюны</w:t>
            </w:r>
            <w:r w:rsidRPr="00505D85">
              <w:rPr>
                <w:sz w:val="30"/>
                <w:szCs w:val="30"/>
                <w:lang w:val="tt-RU"/>
              </w:rPr>
              <w:t xml:space="preserve"> килештерү турында</w:t>
            </w:r>
          </w:p>
          <w:p w:rsidR="004A67D6" w:rsidRPr="004A67D6" w:rsidRDefault="004A67D6" w:rsidP="00BE5C75">
            <w:pPr>
              <w:keepNext/>
              <w:tabs>
                <w:tab w:val="left" w:pos="1260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ind w:firstLine="0"/>
              <w:outlineLvl w:val="0"/>
            </w:pPr>
          </w:p>
          <w:p w:rsidR="0093460C" w:rsidRPr="001C13DE" w:rsidRDefault="0093460C" w:rsidP="00BE5C75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701" w:type="dxa"/>
          </w:tcPr>
          <w:p w:rsidR="0093460C" w:rsidRPr="004E69B5" w:rsidRDefault="0093460C" w:rsidP="00BE5C75">
            <w:pPr>
              <w:keepNext/>
              <w:ind w:firstLine="0"/>
              <w:rPr>
                <w:sz w:val="30"/>
                <w:szCs w:val="30"/>
                <w:lang w:val="tt-RU"/>
              </w:rPr>
            </w:pPr>
          </w:p>
        </w:tc>
      </w:tr>
    </w:tbl>
    <w:p w:rsidR="0093460C" w:rsidRDefault="0093460C" w:rsidP="0093460C">
      <w:pPr>
        <w:keepNext/>
        <w:ind w:firstLine="709"/>
        <w:rPr>
          <w:sz w:val="30"/>
          <w:szCs w:val="30"/>
          <w:lang w:val="tt-RU"/>
        </w:rPr>
      </w:pPr>
    </w:p>
    <w:p w:rsidR="0093460C" w:rsidRDefault="0093460C" w:rsidP="0093460C">
      <w:pPr>
        <w:keepNext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О.В. Коробченконы</w:t>
      </w:r>
      <w:r w:rsidRPr="00505D85">
        <w:rPr>
          <w:sz w:val="30"/>
          <w:szCs w:val="30"/>
          <w:lang w:val="tt-RU"/>
        </w:rPr>
        <w:t xml:space="preserve"> Татарстан Республикасы Премьер-министры урынбасары – Татарстан Республикасы </w:t>
      </w:r>
      <w:r>
        <w:rPr>
          <w:sz w:val="30"/>
          <w:szCs w:val="30"/>
          <w:lang w:val="tt-RU"/>
        </w:rPr>
        <w:t>с</w:t>
      </w:r>
      <w:r w:rsidRPr="00505D85">
        <w:rPr>
          <w:sz w:val="30"/>
          <w:szCs w:val="30"/>
          <w:lang w:val="tt-RU"/>
        </w:rPr>
        <w:t>әнәгать һәм сәүдә министры итеп билгелә</w:t>
      </w:r>
      <w:r>
        <w:rPr>
          <w:sz w:val="30"/>
          <w:szCs w:val="30"/>
          <w:lang w:val="tt-RU"/>
        </w:rPr>
        <w:t>п кую турында Татарстан Республикасы Президенты тәкъдимен карап, Татарстан Республикасы Конституциясенең 75 статьясы, «Татарстан Республикасы дәүләт хакимияте</w:t>
      </w:r>
      <w:r w:rsidR="00F93092">
        <w:rPr>
          <w:sz w:val="30"/>
          <w:szCs w:val="30"/>
          <w:lang w:val="tt-RU"/>
        </w:rPr>
        <w:t>нең</w:t>
      </w:r>
      <w:r>
        <w:rPr>
          <w:sz w:val="30"/>
          <w:szCs w:val="30"/>
          <w:lang w:val="tt-RU"/>
        </w:rPr>
        <w:t xml:space="preserve"> башкарма органнары турында» Татарстан Республикасы Законының 18 һәм 49 статьялары нигезендә Татарстан Республикасы Дәүләт Советы </w:t>
      </w:r>
      <w:r w:rsidRPr="009B6B9D">
        <w:rPr>
          <w:sz w:val="30"/>
          <w:szCs w:val="30"/>
          <w:u w:val="single"/>
          <w:lang w:val="tt-RU"/>
        </w:rPr>
        <w:t>КАРАР БИРӘ</w:t>
      </w:r>
      <w:r>
        <w:rPr>
          <w:sz w:val="30"/>
          <w:szCs w:val="30"/>
          <w:lang w:val="tt-RU"/>
        </w:rPr>
        <w:t>:</w:t>
      </w:r>
    </w:p>
    <w:p w:rsidR="0093460C" w:rsidRDefault="0093460C" w:rsidP="0093460C">
      <w:pPr>
        <w:keepNext/>
        <w:rPr>
          <w:sz w:val="30"/>
          <w:szCs w:val="30"/>
          <w:lang w:val="tt-RU"/>
        </w:rPr>
      </w:pPr>
    </w:p>
    <w:p w:rsidR="0093460C" w:rsidRDefault="0093460C" w:rsidP="0093460C">
      <w:pPr>
        <w:keepNext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Коробченко Олег Владимировичны</w:t>
      </w:r>
      <w:r w:rsidRPr="00505D85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Татарстан Республикасы </w:t>
      </w:r>
      <w:r w:rsidRPr="00505D85">
        <w:rPr>
          <w:sz w:val="30"/>
          <w:szCs w:val="30"/>
          <w:lang w:val="tt-RU"/>
        </w:rPr>
        <w:t xml:space="preserve">Премьер-министры урынбасары – Татарстан Республикасы </w:t>
      </w:r>
      <w:r>
        <w:rPr>
          <w:sz w:val="30"/>
          <w:szCs w:val="30"/>
          <w:lang w:val="tt-RU"/>
        </w:rPr>
        <w:t>с</w:t>
      </w:r>
      <w:r w:rsidRPr="00505D85">
        <w:rPr>
          <w:sz w:val="30"/>
          <w:szCs w:val="30"/>
          <w:lang w:val="tt-RU"/>
        </w:rPr>
        <w:t>әнәгать һәм сәүдә министры итеп</w:t>
      </w:r>
      <w:r>
        <w:rPr>
          <w:sz w:val="30"/>
          <w:szCs w:val="30"/>
          <w:lang w:val="tt-RU"/>
        </w:rPr>
        <w:t xml:space="preserve"> </w:t>
      </w:r>
      <w:r w:rsidRPr="00505D85">
        <w:rPr>
          <w:sz w:val="30"/>
          <w:szCs w:val="30"/>
          <w:lang w:val="tt-RU"/>
        </w:rPr>
        <w:t>билгелә</w:t>
      </w:r>
      <w:r>
        <w:rPr>
          <w:sz w:val="30"/>
          <w:szCs w:val="30"/>
          <w:lang w:val="tt-RU"/>
        </w:rPr>
        <w:t>п кую белән килешергә.</w:t>
      </w:r>
    </w:p>
    <w:p w:rsidR="0093460C" w:rsidRDefault="0093460C" w:rsidP="0093460C">
      <w:pPr>
        <w:keepNext/>
        <w:rPr>
          <w:sz w:val="30"/>
          <w:szCs w:val="30"/>
          <w:lang w:val="tt-RU"/>
        </w:rPr>
      </w:pPr>
    </w:p>
    <w:p w:rsidR="0093460C" w:rsidRPr="00491A86" w:rsidRDefault="0093460C" w:rsidP="0093460C">
      <w:pPr>
        <w:keepNext/>
        <w:rPr>
          <w:sz w:val="30"/>
          <w:szCs w:val="30"/>
          <w:lang w:val="tt-RU"/>
        </w:rPr>
      </w:pPr>
    </w:p>
    <w:p w:rsidR="0093460C" w:rsidRPr="009D0A27" w:rsidRDefault="0093460C" w:rsidP="008A0333">
      <w:pPr>
        <w:ind w:firstLine="0"/>
        <w:rPr>
          <w:sz w:val="30"/>
          <w:szCs w:val="30"/>
          <w:lang w:val="tt-RU"/>
        </w:rPr>
      </w:pPr>
      <w:r w:rsidRPr="009D0A27">
        <w:rPr>
          <w:sz w:val="30"/>
          <w:szCs w:val="30"/>
          <w:lang w:val="tt-RU"/>
        </w:rPr>
        <w:t xml:space="preserve">Татарстан Республикасы </w:t>
      </w:r>
    </w:p>
    <w:p w:rsidR="0093460C" w:rsidRPr="009D0A27" w:rsidRDefault="0093460C" w:rsidP="008A0333">
      <w:pPr>
        <w:ind w:firstLine="0"/>
        <w:rPr>
          <w:sz w:val="30"/>
          <w:szCs w:val="30"/>
          <w:lang w:val="tt-RU"/>
        </w:rPr>
      </w:pPr>
      <w:r w:rsidRPr="009D0A27">
        <w:rPr>
          <w:sz w:val="30"/>
          <w:szCs w:val="30"/>
          <w:lang w:val="tt-RU"/>
        </w:rPr>
        <w:t>Дәүләт Советы Рәисе                                                                Ф.Х. Мөхәммәтшин</w:t>
      </w:r>
    </w:p>
    <w:p w:rsidR="0093460C" w:rsidRDefault="0093460C" w:rsidP="008A0333">
      <w:pPr>
        <w:ind w:firstLine="0"/>
        <w:rPr>
          <w:sz w:val="30"/>
          <w:szCs w:val="30"/>
          <w:lang w:val="tt-RU"/>
        </w:rPr>
      </w:pPr>
    </w:p>
    <w:p w:rsidR="0093460C" w:rsidRPr="009D0A27" w:rsidRDefault="0093460C" w:rsidP="008A0333">
      <w:pPr>
        <w:ind w:firstLine="0"/>
        <w:rPr>
          <w:sz w:val="30"/>
          <w:szCs w:val="30"/>
          <w:lang w:val="tt-RU"/>
        </w:rPr>
      </w:pPr>
      <w:r w:rsidRPr="009D0A27">
        <w:rPr>
          <w:sz w:val="30"/>
          <w:szCs w:val="30"/>
          <w:lang w:val="tt-RU"/>
        </w:rPr>
        <w:t>Казан шәһәре,</w:t>
      </w:r>
    </w:p>
    <w:p w:rsidR="0093460C" w:rsidRPr="009D0A27" w:rsidRDefault="0093460C" w:rsidP="008A0333">
      <w:pPr>
        <w:ind w:firstLine="0"/>
        <w:rPr>
          <w:sz w:val="30"/>
          <w:szCs w:val="30"/>
          <w:lang w:val="tt-RU"/>
        </w:rPr>
      </w:pPr>
      <w:r w:rsidRPr="009D0A27">
        <w:rPr>
          <w:sz w:val="30"/>
          <w:szCs w:val="30"/>
          <w:lang w:val="tt-RU"/>
        </w:rPr>
        <w:t>2022 елның 15 июне</w:t>
      </w:r>
    </w:p>
    <w:p w:rsidR="0093460C" w:rsidRPr="009D0A27" w:rsidRDefault="0093460C" w:rsidP="008A0333">
      <w:pPr>
        <w:ind w:firstLine="0"/>
        <w:rPr>
          <w:sz w:val="30"/>
          <w:szCs w:val="30"/>
          <w:lang w:val="tt-RU"/>
        </w:rPr>
      </w:pPr>
      <w:r w:rsidRPr="009D0A27">
        <w:rPr>
          <w:sz w:val="30"/>
          <w:szCs w:val="30"/>
          <w:lang w:val="tt-RU"/>
        </w:rPr>
        <w:t>№ 145</w:t>
      </w:r>
      <w:r>
        <w:rPr>
          <w:sz w:val="30"/>
          <w:szCs w:val="30"/>
          <w:lang w:val="tt-RU"/>
        </w:rPr>
        <w:t>7</w:t>
      </w:r>
      <w:r w:rsidRPr="009D0A27">
        <w:rPr>
          <w:sz w:val="30"/>
          <w:szCs w:val="30"/>
          <w:lang w:val="tt-RU"/>
        </w:rPr>
        <w:t>-VI ДС</w:t>
      </w:r>
    </w:p>
    <w:p w:rsidR="0093460C" w:rsidRPr="00CC22DC" w:rsidRDefault="0093460C" w:rsidP="0093460C">
      <w:pPr>
        <w:ind w:firstLine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ab/>
      </w:r>
      <w:r>
        <w:rPr>
          <w:sz w:val="30"/>
          <w:szCs w:val="30"/>
          <w:lang w:val="tt-RU"/>
        </w:rPr>
        <w:tab/>
      </w:r>
      <w:r>
        <w:rPr>
          <w:sz w:val="30"/>
          <w:szCs w:val="30"/>
          <w:lang w:val="tt-RU"/>
        </w:rPr>
        <w:tab/>
      </w:r>
      <w:r>
        <w:rPr>
          <w:sz w:val="30"/>
          <w:szCs w:val="30"/>
          <w:lang w:val="tt-RU"/>
        </w:rPr>
        <w:tab/>
      </w:r>
      <w:r>
        <w:rPr>
          <w:sz w:val="30"/>
          <w:szCs w:val="30"/>
          <w:lang w:val="tt-RU"/>
        </w:rPr>
        <w:tab/>
      </w:r>
      <w:r>
        <w:rPr>
          <w:sz w:val="30"/>
          <w:szCs w:val="30"/>
          <w:lang w:val="tt-RU"/>
        </w:rPr>
        <w:tab/>
      </w:r>
    </w:p>
    <w:p w:rsidR="0093460C" w:rsidRPr="00AA31D4" w:rsidRDefault="0093460C" w:rsidP="0093460C">
      <w:pPr>
        <w:jc w:val="center"/>
        <w:rPr>
          <w:sz w:val="30"/>
          <w:szCs w:val="30"/>
          <w:lang w:val="tt-RU"/>
        </w:rPr>
      </w:pPr>
    </w:p>
    <w:p w:rsidR="0093460C" w:rsidRPr="00C8588C" w:rsidRDefault="0093460C" w:rsidP="0093460C">
      <w:pPr>
        <w:rPr>
          <w:lang w:val="tt-RU"/>
        </w:rPr>
      </w:pPr>
    </w:p>
    <w:p w:rsidR="0093460C" w:rsidRPr="00C8588C" w:rsidRDefault="0093460C" w:rsidP="0093460C">
      <w:pPr>
        <w:rPr>
          <w:lang w:val="tt-RU"/>
        </w:rPr>
      </w:pPr>
    </w:p>
    <w:p w:rsidR="0093460C" w:rsidRPr="009B6B9D" w:rsidRDefault="0093460C" w:rsidP="0093460C">
      <w:pPr>
        <w:rPr>
          <w:lang w:val="tt-RU"/>
        </w:rPr>
      </w:pPr>
    </w:p>
    <w:p w:rsidR="00B325D1" w:rsidRPr="0093460C" w:rsidRDefault="00B325D1">
      <w:pPr>
        <w:rPr>
          <w:lang w:val="tt-RU"/>
        </w:rPr>
      </w:pPr>
    </w:p>
    <w:sectPr w:rsidR="00B325D1" w:rsidRPr="0093460C" w:rsidSect="0093460C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460C"/>
    <w:rsid w:val="00172AE3"/>
    <w:rsid w:val="00333E7E"/>
    <w:rsid w:val="00337E9A"/>
    <w:rsid w:val="004A67D6"/>
    <w:rsid w:val="005C0453"/>
    <w:rsid w:val="005D11F3"/>
    <w:rsid w:val="005F6423"/>
    <w:rsid w:val="00602B27"/>
    <w:rsid w:val="006664CE"/>
    <w:rsid w:val="00701CC3"/>
    <w:rsid w:val="00853276"/>
    <w:rsid w:val="008A0333"/>
    <w:rsid w:val="0093460C"/>
    <w:rsid w:val="00A723C1"/>
    <w:rsid w:val="00AF608C"/>
    <w:rsid w:val="00B325D1"/>
    <w:rsid w:val="00B42188"/>
    <w:rsid w:val="00B9188A"/>
    <w:rsid w:val="00BB5AC2"/>
    <w:rsid w:val="00DF00FD"/>
    <w:rsid w:val="00E92511"/>
    <w:rsid w:val="00F8668B"/>
    <w:rsid w:val="00F93092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0C"/>
    <w:pPr>
      <w:ind w:firstLine="72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7</cp:revision>
  <cp:lastPrinted>2022-06-15T09:39:00Z</cp:lastPrinted>
  <dcterms:created xsi:type="dcterms:W3CDTF">2022-06-15T09:15:00Z</dcterms:created>
  <dcterms:modified xsi:type="dcterms:W3CDTF">2022-06-15T09:41:00Z</dcterms:modified>
</cp:coreProperties>
</file>