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Cs/>
          <w:szCs w:val="28"/>
          <w:lang w:val="tt"/>
        </w:rPr>
      </w:pPr>
      <w:bookmarkStart w:id="0" w:name="_GoBack"/>
      <w:bookmarkStart w:id="1" w:name="_GoBack"/>
      <w:bookmarkEnd w:id="1"/>
      <w:r>
        <w:rPr>
          <w:bCs/>
          <w:szCs w:val="28"/>
          <w:lang w:val="tt"/>
        </w:rPr>
      </w:r>
    </w:p>
    <w:p>
      <w:pPr>
        <w:pStyle w:val="Normal"/>
        <w:jc w:val="center"/>
        <w:rPr>
          <w:bCs/>
          <w:szCs w:val="28"/>
          <w:lang w:val="tt"/>
        </w:rPr>
      </w:pPr>
      <w:r>
        <w:rPr>
          <w:bCs/>
          <w:szCs w:val="28"/>
          <w:lang w:val="tt"/>
        </w:rPr>
        <w:t xml:space="preserve">Татарстан Республикасында минималь хезмәт хакы турында Татарстан Республикасы Һөнәр берлекләре федерациясе, Татарстан Республикасы Эш бирүчеләр берләшмәләренең координация советы, Татарстан Республикасы Министрлар Кабинеты арасында </w:t>
      </w:r>
    </w:p>
    <w:p>
      <w:pPr>
        <w:pStyle w:val="Normal"/>
        <w:jc w:val="center"/>
        <w:rPr>
          <w:bCs/>
          <w:szCs w:val="28"/>
          <w:lang w:val="tt"/>
        </w:rPr>
      </w:pPr>
      <w:r>
        <w:rPr>
          <w:bCs/>
          <w:szCs w:val="28"/>
          <w:lang w:val="tt"/>
        </w:rPr>
        <w:t>КИЛЕШҮ</w:t>
      </w:r>
    </w:p>
    <w:p>
      <w:pPr>
        <w:pStyle w:val="Normal"/>
        <w:jc w:val="center"/>
        <w:rPr>
          <w:bCs/>
          <w:szCs w:val="28"/>
          <w:lang w:val="tt"/>
        </w:rPr>
      </w:pPr>
      <w:r>
        <w:rPr>
          <w:bCs/>
          <w:szCs w:val="28"/>
          <w:lang w:val="tt"/>
        </w:rPr>
      </w:r>
    </w:p>
    <w:p>
      <w:pPr>
        <w:pStyle w:val="Normal"/>
        <w:jc w:val="center"/>
        <w:rPr>
          <w:bCs/>
          <w:szCs w:val="28"/>
        </w:rPr>
      </w:pPr>
      <w:r>
        <w:rPr>
          <w:bCs/>
          <w:szCs w:val="28"/>
        </w:rPr>
      </w:r>
    </w:p>
    <w:p>
      <w:pPr>
        <w:pStyle w:val="Normal"/>
        <w:jc w:val="center"/>
        <w:rPr>
          <w:szCs w:val="28"/>
        </w:rPr>
      </w:pPr>
      <w:r>
        <w:rPr>
          <w:szCs w:val="28"/>
        </w:rPr>
      </w:r>
    </w:p>
    <w:p>
      <w:pPr>
        <w:pStyle w:val="Normal"/>
        <w:jc w:val="both"/>
        <w:rPr>
          <w:szCs w:val="28"/>
          <w:lang w:val="tt-RU"/>
        </w:rPr>
      </w:pPr>
      <w:r>
        <w:rPr>
          <w:szCs w:val="28"/>
          <w:lang w:val="tt"/>
        </w:rPr>
        <w:t>Казан шәһәре</w:t>
        <w:tab/>
        <w:t xml:space="preserve">                                                          2023 ел, «_</w:t>
      </w:r>
      <w:r>
        <w:rPr>
          <w:szCs w:val="28"/>
          <w:lang w:val="tt"/>
        </w:rPr>
        <w:t>27</w:t>
      </w:r>
      <w:r>
        <w:rPr>
          <w:szCs w:val="28"/>
          <w:lang w:val="tt"/>
        </w:rPr>
        <w:t xml:space="preserve">» </w:t>
      </w:r>
      <w:r>
        <w:rPr>
          <w:szCs w:val="28"/>
          <w:lang w:val="tt-RU"/>
        </w:rPr>
        <w:t>декабрь</w:t>
      </w:r>
    </w:p>
    <w:p>
      <w:pPr>
        <w:pStyle w:val="Normal"/>
        <w:ind w:left="0" w:right="0" w:firstLine="709"/>
        <w:jc w:val="both"/>
        <w:rPr>
          <w:szCs w:val="28"/>
        </w:rPr>
      </w:pPr>
      <w:r>
        <w:rPr>
          <w:szCs w:val="28"/>
        </w:rPr>
      </w:r>
    </w:p>
    <w:p>
      <w:pPr>
        <w:pStyle w:val="Normal"/>
        <w:ind w:left="0" w:right="0" w:firstLine="709"/>
        <w:jc w:val="both"/>
        <w:rPr>
          <w:szCs w:val="28"/>
        </w:rPr>
      </w:pPr>
      <w:r>
        <w:rPr>
          <w:szCs w:val="28"/>
        </w:rPr>
      </w:r>
    </w:p>
    <w:p>
      <w:pPr>
        <w:pStyle w:val="Normal"/>
        <w:ind w:left="0" w:right="0" w:firstLine="709"/>
        <w:jc w:val="both"/>
        <w:rPr>
          <w:szCs w:val="28"/>
        </w:rPr>
      </w:pPr>
      <w:r>
        <w:rPr>
          <w:szCs w:val="28"/>
        </w:rPr>
      </w:r>
    </w:p>
    <w:p>
      <w:pPr>
        <w:pStyle w:val="Normal"/>
        <w:ind w:left="0" w:right="0" w:firstLine="709"/>
        <w:jc w:val="both"/>
        <w:rPr>
          <w:szCs w:val="28"/>
          <w:lang w:val="tt"/>
        </w:rPr>
      </w:pPr>
      <w:r>
        <w:rPr>
          <w:szCs w:val="28"/>
          <w:lang w:val="tt"/>
        </w:rPr>
        <w:t>«Татарстан Республикасы Һөнәр берлекләре федерациясе» берлеге (алга таба – Татарстан Республикасы Һөнәр берлекләре федерациясе) – Татарстан Республикасы Һөнәр берлекләре федерациясе Уставы нигезендә эш итүче рәисе Кузьмичева Елена Ивановна йөзендә, Татарстан Республикасы Эш бирүчеләр берләшмәләренең координация советы – Татарстан Республикасы Эш бирүчеләр берләшмәләре координация советы турындагы нигезләмәгә таянып эш итүче рәисе Лаврентьев Александр Петрович йөзендә һәм Татарстан Республикасы Министрлар Кабинеты – Татарстан Республикасы Конституциясе, «Татарстан Республикасы дәүләт хакимиятенең башкарма органнары турында» 2005 елның 6 апрелендәге 64-ТРЗ номерлы Татарстан Республикасы Законы нигезендә эш итүче Татарстан Республикасы Премьер-министры Песошин Алексей Валерьевич йөзендә, алга таба Яклар дип атала, Россия Федерациясе Хезмәт кодексының 133</w:t>
      </w:r>
      <w:r>
        <w:rPr>
          <w:szCs w:val="28"/>
          <w:vertAlign w:val="superscript"/>
          <w:lang w:val="tt"/>
        </w:rPr>
        <w:t>1</w:t>
      </w:r>
      <w:r>
        <w:rPr>
          <w:szCs w:val="28"/>
          <w:lang w:val="tt"/>
        </w:rPr>
        <w:t xml:space="preserve"> статьясы, «Татарстан Республикасында социаль партнерлык органнары турында» 2004 елның 26 июлендәге 42-ТРЗ номерлы Татарстан Республикасы Законы нигезендә, түбәндәгеләр турында әлеге Килешүне төзеде:</w:t>
      </w:r>
    </w:p>
    <w:p>
      <w:pPr>
        <w:pStyle w:val="Normal"/>
        <w:jc w:val="center"/>
        <w:rPr>
          <w:b/>
          <w:szCs w:val="28"/>
        </w:rPr>
      </w:pPr>
      <w:r>
        <w:rPr>
          <w:b/>
          <w:szCs w:val="28"/>
        </w:rPr>
      </w:r>
    </w:p>
    <w:p>
      <w:pPr>
        <w:pStyle w:val="Normal"/>
        <w:jc w:val="center"/>
        <w:rPr>
          <w:bCs/>
          <w:szCs w:val="28"/>
          <w:lang w:val="tt"/>
        </w:rPr>
      </w:pPr>
      <w:r>
        <w:rPr>
          <w:bCs/>
          <w:szCs w:val="28"/>
          <w:lang w:val="tt"/>
        </w:rPr>
        <w:t>1 статья</w:t>
      </w:r>
    </w:p>
    <w:p>
      <w:pPr>
        <w:pStyle w:val="Normal"/>
        <w:jc w:val="center"/>
        <w:rPr>
          <w:rFonts w:eastAsia="Calibri"/>
          <w:szCs w:val="40"/>
        </w:rPr>
      </w:pPr>
      <w:r>
        <w:rPr>
          <w:rFonts w:eastAsia="Calibri"/>
          <w:szCs w:val="40"/>
        </w:rPr>
      </w:r>
    </w:p>
    <w:p>
      <w:pPr>
        <w:pStyle w:val="Normal"/>
        <w:numPr>
          <w:ilvl w:val="0"/>
          <w:numId w:val="2"/>
        </w:numPr>
        <w:tabs>
          <w:tab w:val="left" w:pos="993" w:leader="none"/>
        </w:tabs>
        <w:ind w:left="0" w:right="0" w:hanging="360"/>
        <w:jc w:val="both"/>
        <w:rPr>
          <w:szCs w:val="28"/>
          <w:lang w:val="tt"/>
        </w:rPr>
      </w:pPr>
      <w:r>
        <w:rPr>
          <w:szCs w:val="28"/>
          <w:lang w:val="tt"/>
        </w:rPr>
        <w:t>Татарстан Республикасы территориясендә эшләүче хезмәткәрләр өчен (федераль бюджеттан, Татарстан Республикасы бюджетыннан һәм җирле бюджетлардан финанслана торган оешмаларның хезмәткәрләреннән тыш) 2024 елның 1 гыйнварыннан минималь хезмәт хакы аена 22 020 сум күләмендә билгеләнә.</w:t>
      </w:r>
    </w:p>
    <w:p>
      <w:pPr>
        <w:pStyle w:val="Normal"/>
        <w:numPr>
          <w:ilvl w:val="0"/>
          <w:numId w:val="2"/>
        </w:numPr>
        <w:tabs>
          <w:tab w:val="left" w:pos="993" w:leader="none"/>
        </w:tabs>
        <w:ind w:left="0" w:right="0" w:hanging="360"/>
        <w:jc w:val="both"/>
        <w:rPr>
          <w:szCs w:val="28"/>
          <w:lang w:val="tt"/>
        </w:rPr>
      </w:pPr>
      <w:r>
        <w:rPr>
          <w:szCs w:val="28"/>
          <w:lang w:val="tt"/>
        </w:rPr>
        <w:t>Минималь хезмәт хакы 2023 елның II кварталына Татарстан Республикасы буенча тулаем минималь куллану бюджетының кыйммәти зурлыгыннан 100 процент күләмендә билгеләнде һәм ул Россия Федерациясе законнары белән билгеләнгән эш вакытының айлык нормасын эшләгән һәм тариф ставкасын (окладын) яисә тарифсыз система буенча хезмәт хакын, шулай ук өстәп түләүләрне, өстәмәләрне, премияләрне һәм башка түләүләрне (Россия Федерациясе Хезмәт кодексының 147, 151 – 154 статьялары нигезендә башкарыла торган түләүләрдән тыш) үз эченә алган хезмәт нормасын (хезмәт йөкләмәләрен) үтәүче хезмәткәргә түләнә торган түләүләрнең минималь суммасыннан гыйбарәт.</w:t>
      </w:r>
    </w:p>
    <w:p>
      <w:pPr>
        <w:sectPr>
          <w:headerReference w:type="default" r:id="rId2"/>
          <w:footerReference w:type="default" r:id="rId3"/>
          <w:type w:val="nextPage"/>
          <w:pgSz w:w="11906" w:h="16838"/>
          <w:pgMar w:left="1134" w:right="567" w:header="510" w:top="1134" w:footer="709" w:bottom="1134" w:gutter="0"/>
          <w:pgNumType w:fmt="decimal"/>
          <w:formProt w:val="false"/>
          <w:titlePg/>
          <w:textDirection w:val="lrTb"/>
          <w:docGrid w:type="default" w:linePitch="381" w:charSpace="4294952959"/>
        </w:sectPr>
        <w:pStyle w:val="Normal"/>
        <w:tabs>
          <w:tab w:val="left" w:pos="993" w:leader="none"/>
        </w:tabs>
        <w:ind w:left="0" w:right="0" w:firstLine="709"/>
        <w:jc w:val="both"/>
        <w:rPr>
          <w:szCs w:val="28"/>
          <w:lang w:val="tt"/>
        </w:rPr>
      </w:pPr>
      <w:r>
        <w:rPr>
          <w:szCs w:val="28"/>
          <w:lang w:val="tt"/>
        </w:rPr>
        <w:t>3.</w:t>
        <w:tab/>
        <w:t>Татарстан Республикасында әлеге Килешү белән билгеләнгән минималь хезмәт хакы күләме икътисадның бюджеттан тыш секторы оешмалары һәм, юридик зат оештырмыйча, үз акчасы исәбеннән эшмәкәрлек эшчәнлеген гамәлгә ашыручы индивидуаль эшмәкәрләр тарафыннан тәэмин ителә.</w:t>
      </w:r>
    </w:p>
    <w:p>
      <w:pPr>
        <w:pStyle w:val="Normal"/>
        <w:tabs>
          <w:tab w:val="left" w:pos="993" w:leader="none"/>
        </w:tabs>
        <w:ind w:left="0" w:right="0" w:firstLine="709"/>
        <w:jc w:val="both"/>
        <w:rPr>
          <w:szCs w:val="28"/>
          <w:lang w:val="tt"/>
        </w:rPr>
      </w:pPr>
      <w:r>
        <w:rPr>
          <w:szCs w:val="28"/>
          <w:lang w:val="tt"/>
        </w:rPr>
        <w:t>4.</w:t>
        <w:tab/>
        <w:t>Татарстан Республикасының дәүләт һәм муниципаль учреждениеләре өчен минималь хезмәт хакы «Хезмәт өчен түләүнең минималь күләме турында» 2000 елның 19 июнендәге 82-ФЗ номерлы Федераль законда билгеләнә.</w:t>
      </w:r>
    </w:p>
    <w:p>
      <w:pPr>
        <w:pStyle w:val="Normal"/>
        <w:tabs>
          <w:tab w:val="left" w:pos="993" w:leader="none"/>
        </w:tabs>
        <w:ind w:left="0" w:right="0" w:firstLine="709"/>
        <w:jc w:val="both"/>
        <w:rPr>
          <w:szCs w:val="28"/>
          <w:lang w:val="tt"/>
        </w:rPr>
      </w:pPr>
      <w:r>
        <w:rPr>
          <w:szCs w:val="28"/>
          <w:lang w:val="tt"/>
        </w:rPr>
        <w:t>5.</w:t>
        <w:tab/>
        <w:t>Татарстан Республикасы территориясендә эшләүче һәм үзенә карата әлеге Килешү гамәлдә булган яки Россия Федерациясе Хезмәт кодексының 133</w:t>
      </w:r>
      <w:r>
        <w:rPr>
          <w:bCs/>
          <w:szCs w:val="28"/>
          <w:vertAlign w:val="superscript"/>
          <w:lang w:val="tt"/>
        </w:rPr>
        <w:t>1</w:t>
      </w:r>
      <w:bookmarkStart w:id="2" w:name="p_24"/>
      <w:bookmarkStart w:id="3" w:name="p_421"/>
      <w:bookmarkEnd w:id="2"/>
      <w:bookmarkEnd w:id="3"/>
      <w:r>
        <w:rPr>
          <w:szCs w:val="28"/>
          <w:lang w:val="tt"/>
        </w:rPr>
        <w:t xml:space="preserve"> статьясында билгеләнгән тәртиптә әлеге Килешүнең гамәле кагылган эш бирүче белән хезмәт мөнәсәбәтләрендә торучы хезмәткәрнең айлык хезмәт хакы, әлеге хезмәткәр тарафыннан шушы чорда эш вакыты нормасы тулысынча эшләнү һәм хезмәт нормалары (хезмәт йөкләмәләре) үтәлү шарты белән, әлеге Килешүдә билгеләнгән минималь хезмәт хакы күләменнән түбән була алмый.</w:t>
      </w:r>
    </w:p>
    <w:p>
      <w:pPr>
        <w:pStyle w:val="Normal"/>
        <w:tabs>
          <w:tab w:val="left" w:pos="993" w:leader="none"/>
        </w:tabs>
        <w:ind w:left="0" w:right="0" w:firstLine="709"/>
        <w:jc w:val="both"/>
        <w:rPr>
          <w:szCs w:val="28"/>
          <w:lang w:val="tt"/>
        </w:rPr>
      </w:pPr>
      <w:r>
        <w:rPr>
          <w:szCs w:val="28"/>
          <w:lang w:val="tt"/>
        </w:rPr>
        <w:t>6.</w:t>
        <w:tab/>
        <w:t>Әлеге Килешүдә билгеләнгән минималь хезмәт хакы күләме хезмәт өчен түләү буенча югарырак минималь гарантияләр билгеләүгә чикләү булып тормый.</w:t>
      </w:r>
    </w:p>
    <w:p>
      <w:pPr>
        <w:pStyle w:val="Normal"/>
        <w:tabs>
          <w:tab w:val="left" w:pos="993" w:leader="none"/>
        </w:tabs>
        <w:ind w:left="0" w:right="0" w:firstLine="709"/>
        <w:jc w:val="both"/>
        <w:rPr>
          <w:szCs w:val="28"/>
          <w:lang w:val="tt"/>
        </w:rPr>
      </w:pPr>
      <w:r>
        <w:rPr>
          <w:szCs w:val="28"/>
          <w:lang w:val="tt"/>
        </w:rPr>
        <w:t xml:space="preserve">7. 2024 елның II кварталы өчен тулаем Татарстан Республикасы буенча минималь куллану бюджетының хакы зурлыгыннан процент нисбәтендә билгеләнә торган минималь хезмәт хакы күләмен арттыруның киләсе срогы 2025 елның 1 гыйнварыннан билгеләнә. Минималь хезмәт хакы күләме Татарстан Республикасында алдан билгеләнгән минималь хезмәт хакы күләменнән түбәнрәк була алмый. </w:t>
      </w:r>
    </w:p>
    <w:p>
      <w:pPr>
        <w:pStyle w:val="Normal"/>
        <w:tabs>
          <w:tab w:val="left" w:pos="709" w:leader="none"/>
        </w:tabs>
        <w:ind w:left="0" w:right="0" w:firstLine="709"/>
        <w:jc w:val="both"/>
        <w:rPr>
          <w:szCs w:val="28"/>
          <w:lang w:val="tt"/>
        </w:rPr>
      </w:pPr>
      <w:r>
        <w:rPr>
          <w:szCs w:val="28"/>
          <w:lang w:val="tt"/>
        </w:rPr>
        <w:t xml:space="preserve">Чираттагы чорга Татарстан Республикасында минималь хезмәт хакы турында килешү әзерләү, төзү буенча күмәк сөйләшүләр һәм күрсәтелгән килешүгә имза кую Яклар тарафыннан 2025 елга Татарстан Республикасы бюджетын формалаштыру тәмамланганчы тәэмин ителә.  </w:t>
      </w:r>
    </w:p>
    <w:p>
      <w:pPr>
        <w:pStyle w:val="Normal"/>
        <w:tabs>
          <w:tab w:val="left" w:pos="993" w:leader="none"/>
        </w:tabs>
        <w:ind w:left="0" w:right="0" w:firstLine="709"/>
        <w:jc w:val="both"/>
        <w:rPr>
          <w:szCs w:val="28"/>
        </w:rPr>
      </w:pPr>
      <w:r>
        <w:rPr>
          <w:szCs w:val="28"/>
        </w:rPr>
      </w:r>
    </w:p>
    <w:p>
      <w:pPr>
        <w:pStyle w:val="Normal"/>
        <w:jc w:val="center"/>
        <w:rPr>
          <w:bCs/>
          <w:szCs w:val="28"/>
          <w:lang w:val="tt"/>
        </w:rPr>
      </w:pPr>
      <w:r>
        <w:rPr>
          <w:bCs/>
          <w:szCs w:val="28"/>
          <w:lang w:val="tt"/>
        </w:rPr>
        <w:t>2 статья</w:t>
      </w:r>
    </w:p>
    <w:p>
      <w:pPr>
        <w:pStyle w:val="Normal"/>
        <w:ind w:left="0" w:right="0" w:firstLine="709"/>
        <w:jc w:val="center"/>
        <w:rPr>
          <w:rFonts w:eastAsia="Calibri"/>
          <w:b/>
          <w:szCs w:val="48"/>
        </w:rPr>
      </w:pPr>
      <w:r>
        <w:rPr>
          <w:rFonts w:eastAsia="Calibri"/>
          <w:b/>
          <w:szCs w:val="48"/>
        </w:rPr>
      </w:r>
    </w:p>
    <w:p>
      <w:pPr>
        <w:pStyle w:val="Normal"/>
        <w:ind w:left="0" w:right="0" w:firstLine="709"/>
        <w:jc w:val="both"/>
        <w:rPr>
          <w:szCs w:val="28"/>
          <w:lang w:val="tt"/>
        </w:rPr>
      </w:pPr>
      <w:r>
        <w:rPr>
          <w:szCs w:val="28"/>
          <w:lang w:val="tt"/>
        </w:rPr>
        <w:t xml:space="preserve">Әлеге Килешүне гамәлгә ашыруны тәэмин итү өчен Яклар: </w:t>
      </w:r>
    </w:p>
    <w:p>
      <w:pPr>
        <w:pStyle w:val="Normal"/>
        <w:ind w:left="0" w:right="0" w:firstLine="709"/>
        <w:jc w:val="both"/>
        <w:rPr>
          <w:szCs w:val="28"/>
          <w:lang w:val="tt"/>
        </w:rPr>
      </w:pPr>
      <w:r>
        <w:rPr>
          <w:szCs w:val="28"/>
          <w:lang w:val="tt"/>
        </w:rPr>
        <w:t xml:space="preserve">Россия Федерациясе Хезмәт кодексының </w:t>
      </w:r>
      <w:hyperlink r:id="rId4">
        <w:r>
          <w:rPr>
            <w:rStyle w:val="Style13"/>
            <w:szCs w:val="28"/>
            <w:lang w:val="tt"/>
          </w:rPr>
          <w:t>133</w:t>
        </w:r>
      </w:hyperlink>
      <w:r>
        <w:rPr>
          <w:szCs w:val="28"/>
          <w:vertAlign w:val="superscript"/>
          <w:lang w:val="tt"/>
        </w:rPr>
        <w:t>1</w:t>
      </w:r>
      <w:r>
        <w:rPr>
          <w:szCs w:val="28"/>
          <w:lang w:val="tt"/>
        </w:rPr>
        <w:t xml:space="preserve"> статьясында билгеләнгән тәртиптә Татарстан Республикасы территориясендә эшчәнлек гамәлгә ашырган һәм әлеге Килешүне төзүдә катнашмаган эш бирүчеләрнең әлеге Килешүгә кушылуын тәэмин итү буенча чаралар күрә, шул исәптән әлеге Килешүгә кушылудан баш тарткан эш бирүче вәкилләре һәм бу эш бирүче хезмәткәрләрен берләштергән башлангыч һөнәр берлеге оешмасының сайланулы органы вәкилләре белән консультацияләрдә катнаша;</w:t>
      </w:r>
    </w:p>
    <w:p>
      <w:pPr>
        <w:pStyle w:val="Normal"/>
        <w:ind w:left="0" w:right="0" w:firstLine="709"/>
        <w:jc w:val="both"/>
        <w:rPr>
          <w:szCs w:val="28"/>
          <w:lang w:val="tt"/>
        </w:rPr>
      </w:pPr>
      <w:r>
        <w:rPr>
          <w:szCs w:val="28"/>
          <w:lang w:val="tt"/>
        </w:rPr>
        <w:t>шушы чорда эш вакыты нормасын тулысынча эшләгән һәм хезмәт нормаларын (хезмәт йөкләмәләрен) башкарган хезмәткәрнең айлык хезмәт хакы күләмен әлеге Килешүдә билгеләнгән минималь хезмәт хакы күләменнән түбән булмаган дәрәҗәдә хезмәт өчен түләү күләмнәрен билгеләү буенча чаралар күрә;</w:t>
      </w:r>
    </w:p>
    <w:p>
      <w:pPr>
        <w:pStyle w:val="Normal"/>
        <w:ind w:left="0" w:right="0" w:firstLine="709"/>
        <w:jc w:val="both"/>
        <w:rPr>
          <w:szCs w:val="28"/>
          <w:lang w:val="tt"/>
        </w:rPr>
      </w:pPr>
      <w:r>
        <w:rPr>
          <w:szCs w:val="28"/>
          <w:lang w:val="tt"/>
        </w:rPr>
        <w:t>әлеге Килешүнең үтәлешен мониторинглауны гамәлгә ашыра һәм аның нәтиҗәләрен Социаль-хезмәт мөнәсәбәтләрен җайга салу буенча республика өч яклы комиссиясе һәм аның эшче төркеме утырышларында елга кимендә бер тапкыр карап тикшерә.</w:t>
      </w:r>
    </w:p>
    <w:p>
      <w:pPr>
        <w:pStyle w:val="Normal"/>
        <w:jc w:val="both"/>
        <w:rPr>
          <w:szCs w:val="28"/>
        </w:rPr>
      </w:pPr>
      <w:r>
        <w:rPr>
          <w:szCs w:val="28"/>
        </w:rPr>
      </w:r>
    </w:p>
    <w:p>
      <w:pPr>
        <w:pStyle w:val="Normal"/>
        <w:tabs>
          <w:tab w:val="left" w:pos="709" w:leader="none"/>
        </w:tabs>
        <w:jc w:val="center"/>
        <w:rPr>
          <w:bCs/>
          <w:szCs w:val="28"/>
          <w:lang w:val="tt"/>
        </w:rPr>
      </w:pPr>
      <w:r>
        <w:rPr>
          <w:bCs/>
          <w:szCs w:val="28"/>
          <w:lang w:val="tt"/>
        </w:rPr>
        <w:t>3 статья</w:t>
      </w:r>
    </w:p>
    <w:p>
      <w:pPr>
        <w:pStyle w:val="Normal"/>
        <w:ind w:left="0" w:right="0" w:firstLine="709"/>
        <w:jc w:val="center"/>
        <w:rPr>
          <w:rFonts w:eastAsia="Calibri"/>
          <w:bCs/>
          <w:szCs w:val="28"/>
        </w:rPr>
      </w:pPr>
      <w:r>
        <w:rPr>
          <w:rFonts w:eastAsia="Calibri"/>
          <w:bCs/>
          <w:szCs w:val="28"/>
        </w:rPr>
      </w:r>
    </w:p>
    <w:p>
      <w:pPr>
        <w:pStyle w:val="Normal"/>
        <w:numPr>
          <w:ilvl w:val="0"/>
          <w:numId w:val="1"/>
        </w:numPr>
        <w:tabs>
          <w:tab w:val="left" w:pos="993" w:leader="none"/>
        </w:tabs>
        <w:ind w:left="0" w:right="0" w:hanging="990"/>
        <w:jc w:val="both"/>
        <w:rPr>
          <w:szCs w:val="28"/>
          <w:lang w:val="tt"/>
        </w:rPr>
      </w:pPr>
      <w:r>
        <w:rPr>
          <w:szCs w:val="28"/>
          <w:lang w:val="tt"/>
        </w:rPr>
        <w:t xml:space="preserve">Әлеге Килешү төзелгәннән соң, Татарстан Республикасы Хезмәт, халыкны эш белән тәэмин итү һәм социаль яклау министрлыгы, Татарстан Республикасы башкарма хакимиятенең вәкаләтле органы буларак, Татарстан Республикасы территориясендә эшчәнлек гамәлгә ашырган һәм әлеге Килешүне төзүдә катнашмаган эш бирүчеләргә аңа кушылырга тәкъдим итә. Әлеге тәкъдим бу Килешүнең тексты белән бергә «Республика Татарстан» һәм «Ватаным Татарстан» газеталарында рәсми басылып чыгарга тиеш. </w:t>
      </w:r>
    </w:p>
    <w:p>
      <w:pPr>
        <w:pStyle w:val="Normal"/>
        <w:ind w:left="0" w:right="0" w:firstLine="709"/>
        <w:jc w:val="both"/>
        <w:rPr>
          <w:bCs/>
          <w:szCs w:val="28"/>
          <w:lang w:val="tt"/>
        </w:rPr>
      </w:pPr>
      <w:r>
        <w:rPr>
          <w:bCs/>
          <w:szCs w:val="28"/>
          <w:lang w:val="tt"/>
        </w:rPr>
        <w:t xml:space="preserve">Татарстан Республикасы Хезмәт, халыкны эш белән тәэмин итү һәм социаль яклау министрлыгы әлеге Килешүне һәм аңа кушылу турындагы тәкъдимне бастырып чыгару турында Россия Федерациясе Хезмәт һәм социаль яклау министрлыгына хәбәр итә.  </w:t>
      </w:r>
    </w:p>
    <w:p>
      <w:pPr>
        <w:pStyle w:val="Normal"/>
        <w:ind w:left="0" w:right="0" w:firstLine="709"/>
        <w:jc w:val="both"/>
        <w:rPr>
          <w:szCs w:val="28"/>
          <w:lang w:val="tt"/>
        </w:rPr>
      </w:pPr>
      <w:r>
        <w:rPr>
          <w:szCs w:val="28"/>
          <w:lang w:val="tt"/>
        </w:rPr>
        <w:t xml:space="preserve">2. Татарстан Республикасы территориясендә эшчәнлек гамәлгә ашырган эш бирүчеләр тарафыннан эш бирүчеләргә әлеге Килешүгә кушылу турында тәкъдим рәсми басылып чыккан көннән 30 календарь көн эчендә Татарстан Республикасы Хезмәт, халыкны эш белән тәэмин итү һәм социаль яклау министрлыгына әлеге пункт белән билгеләнгән тәртиптә аңа кушылудан мотивлаштырылган язма баш тарту кәгазе җибәрелмәгән булса, бу Килешү әлеге тәкъдим рәсми басылып чыккан көннән югарыда күрсәтеп үтелгән эш бирүчеләргә кагыла дип санала һәм алар тарафыннан мәҗбүри рәвештә үтәлергә тиеш. Баш тарту кәгазенә бу эш бирүченең хезмәткәрләрен берләштерә торган башлангыч һөнәр берлеге оешмасының сайланулы органы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 тәкъдимнәр теркәлергә тиеш. </w:t>
      </w:r>
    </w:p>
    <w:p>
      <w:pPr>
        <w:pStyle w:val="Normal"/>
        <w:ind w:left="0" w:right="0" w:firstLine="709"/>
        <w:jc w:val="both"/>
        <w:rPr>
          <w:szCs w:val="28"/>
          <w:lang w:val="tt"/>
        </w:rPr>
      </w:pPr>
      <w:r>
        <w:rPr>
          <w:szCs w:val="28"/>
          <w:lang w:val="tt"/>
        </w:rPr>
        <w:t xml:space="preserve">Әлеге эш бирүченең хезмәткәрләре нинди дә булса башлангыч һөнәр берлеге оешмаларына берләштерелмәгән яисә башлангыч һөнәр берлеге оешмаларының берсе дә әлеге эш бирүче хезмәткәрләренең яртысыннан күбрәген берләштермәгән һәм Россия Федерациясе Хезмәт кодексында билгеләнгән тәртиптә әлеге эш бирүченең барлык хезмәткәрләренең мәнфәгатьләрен тәкъдим итәргә вәкаләтле булмаган очракларда, баш тарту кәгазәенә эш бирүченең Россия Федерациясе Хезмәт кодексының 31 статьясында билгеләнгән тәртиптә сайланган башка вәкиллекле орган (вәкиле)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турындагы тәкъдимнәр теркәлергә тиеш. </w:t>
      </w:r>
    </w:p>
    <w:p>
      <w:pPr>
        <w:pStyle w:val="Normal"/>
        <w:spacing w:lineRule="auto" w:line="228"/>
        <w:ind w:left="0" w:right="0" w:firstLine="709"/>
        <w:jc w:val="both"/>
        <w:rPr>
          <w:rFonts w:eastAsia="Calibri"/>
          <w:szCs w:val="28"/>
          <w:lang w:val="tt"/>
        </w:rPr>
      </w:pPr>
      <w:r>
        <w:rPr>
          <w:rFonts w:eastAsia="Calibri"/>
          <w:szCs w:val="28"/>
          <w:lang w:val="tt"/>
        </w:rPr>
        <w:t xml:space="preserve">3. Эш бирүчеләр – Татарстан Республикасы территориясендә эшчәнлек гамәлгә ашырган, әлеге Килешүгә кушылу турындагы тәкъдим рәсми басылып чыккан көннән соң төзелгән һәм үз эшчәнлеген башлап җибәргән юридик затлар, юридик зат булып оешмаган индивидуаль эшмәкәрләр, әлеге Килешүгә кушылу мөмкинлеге булмаган очракта, дәүләт теркәвенә алынган көннән 30 көн эчендә Татарстан Республикасы Хезмәт, халыкны эш белән тәэмин итү һәм социаль яклау министрлыгына әлеге статьяның 2 пунктында каралган документлар белән бергә мотивлаштырылган язма баш тарту кәгазе җибәрергә хокуклы.  </w:t>
      </w:r>
    </w:p>
    <w:p>
      <w:pPr>
        <w:pStyle w:val="Normal"/>
        <w:spacing w:lineRule="auto" w:line="228"/>
        <w:ind w:left="0" w:right="0" w:firstLine="709"/>
        <w:jc w:val="both"/>
        <w:rPr>
          <w:rFonts w:eastAsia="Calibri"/>
          <w:szCs w:val="28"/>
          <w:lang w:val="tt"/>
        </w:rPr>
      </w:pPr>
      <w:r>
        <w:rPr>
          <w:rFonts w:eastAsia="Calibri"/>
          <w:szCs w:val="28"/>
          <w:lang w:val="tt"/>
        </w:rPr>
        <w:t>Әлеге мотивлаштырылган язма баш тарту кәгазе тапшырылмаган очракта, әлеге Килешү бу эш бирүчеләргә кагыла дип санала һәм алар тарафыннан мәҗбүри рәвештә үтәлергә тиеш.</w:t>
      </w:r>
    </w:p>
    <w:p>
      <w:pPr>
        <w:pStyle w:val="Normal"/>
        <w:spacing w:lineRule="auto" w:line="228"/>
        <w:ind w:left="0" w:right="0" w:firstLine="709"/>
        <w:jc w:val="both"/>
        <w:rPr>
          <w:rFonts w:eastAsia="Calibri"/>
          <w:position w:val="-9"/>
          <w:szCs w:val="28"/>
          <w:lang w:val="tt"/>
        </w:rPr>
      </w:pPr>
      <w:r>
        <w:rPr>
          <w:rFonts w:eastAsia="Calibri"/>
          <w:position w:val="-9"/>
          <w:szCs w:val="28"/>
          <w:lang w:val="tt"/>
        </w:rPr>
        <w:t>4. Эш бирүче әлеге Килешүгә кушылырга баш тарткан очракта, Татарстан Республикасы Хезмәт, халыкны эш белән тәэмин итү һәм социаль яклау министрлыгы Социаль-хезмәт мөнәсәбәтләрен җайга салу буенча республика өч яклы комиссиясенең яклар вәкилләре катнашында консультацияләр үткәрү өчен бу эш бирүченең вәкилләрен чакырырга хокуклы.</w:t>
      </w:r>
    </w:p>
    <w:p>
      <w:pPr>
        <w:pStyle w:val="Normal"/>
        <w:spacing w:lineRule="auto" w:line="228"/>
        <w:ind w:left="0" w:right="0" w:firstLine="709"/>
        <w:jc w:val="both"/>
        <w:rPr>
          <w:rFonts w:eastAsia="Calibri"/>
          <w:szCs w:val="28"/>
          <w:lang w:val="tt"/>
        </w:rPr>
      </w:pPr>
      <w:r>
        <w:rPr>
          <w:rFonts w:eastAsia="Calibri"/>
          <w:szCs w:val="28"/>
          <w:lang w:val="tt"/>
        </w:rPr>
        <w:t>Эш бирүче һәм Социаль-хезмәт мөнәсәбәтләрен җайга салу буенча республика өч яклы комиссиясе вәкилләре бу консультацияләрдә катнашырга тиеш.</w:t>
      </w:r>
    </w:p>
    <w:p>
      <w:pPr>
        <w:pStyle w:val="Normal"/>
        <w:spacing w:lineRule="auto" w:line="228"/>
        <w:ind w:left="0" w:right="0" w:firstLine="709"/>
        <w:jc w:val="both"/>
        <w:rPr>
          <w:szCs w:val="28"/>
          <w:lang w:val="tt"/>
        </w:rPr>
      </w:pPr>
      <w:r>
        <w:rPr>
          <w:szCs w:val="28"/>
          <w:lang w:val="tt"/>
        </w:rPr>
        <w:t>5. Эш бирүчеләрнең әлеге Килешүгә кушылудан язма баш тарту кәгазьләренең күчермәләре Татарстан Республикасы Хезмәт, халыкны эш белән тәэмин итү һәм социаль яклау министрлыгы тарафыннан Татарстан Республикасында Дәүләт хезмәт инспекциясенә җибәрелә.</w:t>
      </w:r>
    </w:p>
    <w:p>
      <w:pPr>
        <w:pStyle w:val="Normal"/>
        <w:spacing w:lineRule="auto" w:line="228"/>
        <w:jc w:val="both"/>
        <w:rPr>
          <w:b/>
          <w:sz w:val="36"/>
          <w:szCs w:val="36"/>
          <w:lang w:val="tt"/>
        </w:rPr>
      </w:pPr>
      <w:r>
        <w:rPr>
          <w:b/>
          <w:sz w:val="36"/>
          <w:szCs w:val="36"/>
          <w:lang w:val="tt"/>
        </w:rPr>
      </w:r>
    </w:p>
    <w:p>
      <w:pPr>
        <w:pStyle w:val="Normal"/>
        <w:spacing w:lineRule="auto" w:line="228"/>
        <w:jc w:val="center"/>
        <w:rPr>
          <w:bCs/>
          <w:szCs w:val="28"/>
          <w:lang w:val="tt"/>
        </w:rPr>
      </w:pPr>
      <w:r>
        <w:rPr>
          <w:bCs/>
          <w:szCs w:val="28"/>
          <w:lang w:val="tt"/>
        </w:rPr>
        <w:t>4 статья</w:t>
      </w:r>
    </w:p>
    <w:p>
      <w:pPr>
        <w:pStyle w:val="Normal"/>
        <w:spacing w:lineRule="auto" w:line="228"/>
        <w:ind w:left="0" w:right="0" w:firstLine="709"/>
        <w:jc w:val="center"/>
        <w:rPr>
          <w:rFonts w:eastAsia="Calibri"/>
          <w:szCs w:val="28"/>
          <w:lang w:val="tt"/>
        </w:rPr>
      </w:pPr>
      <w:r>
        <w:rPr>
          <w:rFonts w:eastAsia="Calibri"/>
          <w:szCs w:val="28"/>
          <w:lang w:val="tt"/>
        </w:rPr>
      </w:r>
    </w:p>
    <w:p>
      <w:pPr>
        <w:pStyle w:val="Normal"/>
        <w:tabs>
          <w:tab w:val="left" w:pos="993" w:leader="none"/>
        </w:tabs>
        <w:spacing w:lineRule="auto" w:line="228"/>
        <w:ind w:left="0" w:right="0" w:firstLine="709"/>
        <w:jc w:val="both"/>
        <w:rPr>
          <w:szCs w:val="28"/>
          <w:lang w:val="tt"/>
        </w:rPr>
      </w:pPr>
      <w:r>
        <w:rPr>
          <w:szCs w:val="28"/>
          <w:lang w:val="tt"/>
        </w:rPr>
        <w:t xml:space="preserve">1. </w:t>
        <w:tab/>
        <w:t>Әлеге Килешү шартларының үтәлешен контрольдә тоту Яклар тарафыннан үзләре билгели торган тәртиптә турыдан-туры гамәлгә ашырыла.</w:t>
      </w:r>
    </w:p>
    <w:p>
      <w:pPr>
        <w:pStyle w:val="Normal"/>
        <w:tabs>
          <w:tab w:val="left" w:pos="993" w:leader="none"/>
        </w:tabs>
        <w:spacing w:lineRule="auto" w:line="228"/>
        <w:ind w:left="0" w:right="0" w:firstLine="709"/>
        <w:jc w:val="both"/>
        <w:rPr>
          <w:szCs w:val="28"/>
          <w:lang w:val="tt"/>
        </w:rPr>
      </w:pPr>
      <w:r>
        <w:rPr>
          <w:szCs w:val="28"/>
          <w:lang w:val="tt"/>
        </w:rPr>
        <w:t>2.</w:t>
        <w:tab/>
        <w:t>Әлеге Килешүнең үтәлешен контрольдә тотуны гамәлгә ашырганда, Яклар тиешле рәсми сорау алынган көннән 30 календарь көн эчендә моның өчен кирәкле барлык мәгълүматны бер-берсенә тапшырырга бурычлы.</w:t>
      </w:r>
    </w:p>
    <w:p>
      <w:pPr>
        <w:pStyle w:val="Normal"/>
        <w:tabs>
          <w:tab w:val="left" w:pos="993" w:leader="none"/>
        </w:tabs>
        <w:spacing w:lineRule="auto" w:line="228"/>
        <w:ind w:left="0" w:right="0" w:firstLine="709"/>
        <w:jc w:val="both"/>
        <w:rPr>
          <w:sz w:val="36"/>
          <w:szCs w:val="36"/>
          <w:lang w:val="tt"/>
        </w:rPr>
      </w:pPr>
      <w:r>
        <w:rPr>
          <w:sz w:val="36"/>
          <w:szCs w:val="36"/>
          <w:lang w:val="tt"/>
        </w:rPr>
      </w:r>
    </w:p>
    <w:p>
      <w:pPr>
        <w:pStyle w:val="Normal"/>
        <w:spacing w:lineRule="auto" w:line="228"/>
        <w:jc w:val="center"/>
        <w:rPr>
          <w:bCs/>
          <w:szCs w:val="28"/>
          <w:lang w:val="tt"/>
        </w:rPr>
      </w:pPr>
      <w:r>
        <w:rPr>
          <w:bCs/>
          <w:szCs w:val="28"/>
          <w:lang w:val="tt"/>
        </w:rPr>
        <w:t>5 статья</w:t>
      </w:r>
    </w:p>
    <w:p>
      <w:pPr>
        <w:pStyle w:val="Normal"/>
        <w:spacing w:lineRule="auto" w:line="228"/>
        <w:ind w:left="0" w:right="0" w:firstLine="709"/>
        <w:jc w:val="center"/>
        <w:rPr>
          <w:szCs w:val="28"/>
          <w:lang w:val="tt"/>
        </w:rPr>
      </w:pPr>
      <w:r>
        <w:rPr>
          <w:szCs w:val="28"/>
          <w:lang w:val="tt"/>
        </w:rPr>
      </w:r>
    </w:p>
    <w:p>
      <w:pPr>
        <w:pStyle w:val="Normal"/>
        <w:spacing w:lineRule="auto" w:line="228"/>
        <w:ind w:left="0" w:right="0" w:firstLine="709"/>
        <w:jc w:val="both"/>
        <w:rPr>
          <w:szCs w:val="28"/>
          <w:lang w:val="tt"/>
        </w:rPr>
      </w:pPr>
      <w:r>
        <w:rPr>
          <w:szCs w:val="28"/>
          <w:lang w:val="tt"/>
        </w:rPr>
        <w:t>Әлеге Килешү Татарстан Республикасы икътисадының бюджеттан тыш секторы оешмаларына – Татарстан Республикасы территориясендә эшчәнлек гамәлгә ашырган, әлеге Килешүне төзегән яки әлеге Килешүнең 3 статьясында билгеләнгән тәртиптә әлеге Килешүгә кушылган юридик затлар, юридик зат булып оешмаган шәхси эшмәкәрләр.</w:t>
      </w:r>
    </w:p>
    <w:p>
      <w:pPr>
        <w:pStyle w:val="Normal"/>
        <w:spacing w:lineRule="auto" w:line="228"/>
        <w:jc w:val="both"/>
        <w:rPr>
          <w:szCs w:val="28"/>
          <w:lang w:val="tt"/>
        </w:rPr>
      </w:pPr>
      <w:r>
        <w:rPr>
          <w:szCs w:val="28"/>
          <w:lang w:val="tt"/>
        </w:rPr>
      </w:r>
    </w:p>
    <w:p>
      <w:pPr>
        <w:pStyle w:val="Normal"/>
        <w:spacing w:lineRule="auto" w:line="228"/>
        <w:jc w:val="center"/>
        <w:rPr>
          <w:bCs/>
          <w:szCs w:val="28"/>
          <w:lang w:val="tt"/>
        </w:rPr>
      </w:pPr>
      <w:r>
        <w:rPr>
          <w:bCs/>
          <w:szCs w:val="28"/>
          <w:lang w:val="tt"/>
        </w:rPr>
        <w:t>6 статья</w:t>
      </w:r>
    </w:p>
    <w:p>
      <w:pPr>
        <w:pStyle w:val="Normal"/>
        <w:spacing w:lineRule="auto" w:line="228"/>
        <w:ind w:left="0" w:right="0" w:firstLine="709"/>
        <w:jc w:val="center"/>
        <w:rPr>
          <w:rFonts w:eastAsia="Calibri"/>
          <w:b/>
          <w:szCs w:val="28"/>
          <w:lang w:val="tt"/>
        </w:rPr>
      </w:pPr>
      <w:r>
        <w:rPr>
          <w:rFonts w:eastAsia="Calibri"/>
          <w:b/>
          <w:szCs w:val="28"/>
          <w:lang w:val="tt"/>
        </w:rPr>
      </w:r>
    </w:p>
    <w:p>
      <w:pPr>
        <w:pStyle w:val="Normal"/>
        <w:spacing w:lineRule="auto" w:line="228"/>
        <w:ind w:left="0" w:right="0" w:firstLine="709"/>
        <w:jc w:val="both"/>
        <w:rPr>
          <w:szCs w:val="28"/>
          <w:lang w:val="tt"/>
        </w:rPr>
      </w:pPr>
      <w:r>
        <w:rPr>
          <w:szCs w:val="28"/>
          <w:lang w:val="tt"/>
        </w:rPr>
        <w:t>Әлеге Килешүнең шартларына  Якларның үзара ризалыгы белән теләсә кайсы вакытта үзгәреш кертелергә мөмкин. Үзгәрешләр Килешү төзү өчен каралган тәртиптә кертелә һәм әлеге Килешүдә билгеләнгән минималь хезмәт хакы күләмен киметә алмый.</w:t>
      </w:r>
    </w:p>
    <w:p>
      <w:pPr>
        <w:pStyle w:val="Normal"/>
        <w:spacing w:lineRule="auto" w:line="228"/>
        <w:jc w:val="both"/>
        <w:rPr>
          <w:sz w:val="36"/>
          <w:szCs w:val="36"/>
          <w:lang w:val="tt"/>
        </w:rPr>
      </w:pPr>
      <w:r>
        <w:rPr>
          <w:sz w:val="36"/>
          <w:szCs w:val="36"/>
          <w:lang w:val="tt"/>
        </w:rPr>
      </w:r>
    </w:p>
    <w:p>
      <w:pPr>
        <w:pStyle w:val="Normal"/>
        <w:spacing w:lineRule="auto" w:line="228"/>
        <w:jc w:val="center"/>
        <w:rPr>
          <w:bCs/>
          <w:szCs w:val="28"/>
          <w:lang w:val="tt"/>
        </w:rPr>
      </w:pPr>
      <w:r>
        <w:rPr>
          <w:bCs/>
          <w:szCs w:val="28"/>
          <w:lang w:val="tt"/>
        </w:rPr>
        <w:t>7 статья</w:t>
      </w:r>
    </w:p>
    <w:p>
      <w:pPr>
        <w:pStyle w:val="Normal"/>
        <w:ind w:left="0" w:right="0" w:firstLine="709"/>
        <w:jc w:val="center"/>
        <w:rPr>
          <w:szCs w:val="28"/>
          <w:lang w:val="tt"/>
        </w:rPr>
      </w:pPr>
      <w:r>
        <w:rPr>
          <w:szCs w:val="28"/>
          <w:lang w:val="tt"/>
        </w:rPr>
      </w:r>
    </w:p>
    <w:p>
      <w:pPr>
        <w:pStyle w:val="Normal"/>
        <w:ind w:left="0" w:right="0" w:firstLine="709"/>
        <w:jc w:val="both"/>
        <w:rPr>
          <w:szCs w:val="28"/>
          <w:lang w:val="tt"/>
        </w:rPr>
      </w:pPr>
      <w:r>
        <w:rPr>
          <w:szCs w:val="28"/>
          <w:lang w:val="tt"/>
        </w:rPr>
        <w:t>Әлеге Килешүне аңлатуга һәм куллануга бәйле рәвештә, Яклар арасында барлыкка килә торган бәхәсләр үзара консультацияләр һәм сөйләшүләр юлы белән хәл ителә.</w:t>
      </w:r>
    </w:p>
    <w:p>
      <w:pPr>
        <w:pStyle w:val="Normal"/>
        <w:jc w:val="center"/>
        <w:rPr>
          <w:b/>
          <w:bCs/>
          <w:szCs w:val="28"/>
          <w:lang w:val="tt"/>
        </w:rPr>
      </w:pPr>
      <w:r>
        <w:rPr>
          <w:b/>
          <w:bCs/>
          <w:szCs w:val="28"/>
          <w:lang w:val="tt"/>
        </w:rPr>
      </w:r>
    </w:p>
    <w:p>
      <w:pPr>
        <w:pStyle w:val="Normal"/>
        <w:jc w:val="center"/>
        <w:rPr>
          <w:b/>
          <w:bCs/>
          <w:szCs w:val="28"/>
          <w:lang w:val="tt"/>
        </w:rPr>
      </w:pPr>
      <w:r>
        <w:rPr>
          <w:b/>
          <w:bCs/>
          <w:szCs w:val="28"/>
          <w:lang w:val="tt"/>
        </w:rPr>
      </w:r>
    </w:p>
    <w:p>
      <w:pPr>
        <w:pStyle w:val="Normal"/>
        <w:jc w:val="center"/>
        <w:rPr>
          <w:b/>
          <w:bCs/>
          <w:szCs w:val="28"/>
          <w:lang w:val="tt"/>
        </w:rPr>
      </w:pPr>
      <w:r>
        <w:rPr>
          <w:b/>
          <w:bCs/>
          <w:szCs w:val="28"/>
          <w:lang w:val="tt"/>
        </w:rPr>
      </w:r>
    </w:p>
    <w:p>
      <w:pPr>
        <w:pStyle w:val="Normal"/>
        <w:jc w:val="center"/>
        <w:rPr>
          <w:bCs/>
          <w:szCs w:val="28"/>
          <w:lang w:val="tt"/>
        </w:rPr>
      </w:pPr>
      <w:r>
        <w:rPr>
          <w:bCs/>
          <w:szCs w:val="28"/>
          <w:lang w:val="tt"/>
        </w:rPr>
        <w:t>8 статья</w:t>
      </w:r>
    </w:p>
    <w:p>
      <w:pPr>
        <w:pStyle w:val="Normal"/>
        <w:jc w:val="center"/>
        <w:rPr>
          <w:b/>
          <w:bCs/>
          <w:szCs w:val="28"/>
        </w:rPr>
      </w:pPr>
      <w:r>
        <w:rPr>
          <w:b/>
          <w:bCs/>
          <w:szCs w:val="28"/>
        </w:rPr>
      </w:r>
    </w:p>
    <w:p>
      <w:pPr>
        <w:pStyle w:val="ListParagraph"/>
        <w:numPr>
          <w:ilvl w:val="0"/>
          <w:numId w:val="3"/>
        </w:numPr>
        <w:tabs>
          <w:tab w:val="left" w:pos="993" w:leader="none"/>
        </w:tabs>
        <w:ind w:left="0" w:right="0" w:hanging="360"/>
        <w:jc w:val="both"/>
        <w:rPr>
          <w:szCs w:val="28"/>
          <w:lang w:val="tt"/>
        </w:rPr>
      </w:pPr>
      <w:r>
        <w:rPr>
          <w:szCs w:val="28"/>
          <w:lang w:val="tt"/>
        </w:rPr>
        <w:t>Әлеге Килешү тексты түбәндәгеләргә җибәрелә:</w:t>
      </w:r>
    </w:p>
    <w:p>
      <w:pPr>
        <w:pStyle w:val="Normal"/>
        <w:ind w:left="0" w:right="0" w:firstLine="709"/>
        <w:jc w:val="both"/>
        <w:rPr>
          <w:szCs w:val="28"/>
          <w:lang w:val="tt"/>
        </w:rPr>
      </w:pPr>
      <w:r>
        <w:rPr>
          <w:szCs w:val="28"/>
          <w:lang w:val="tt"/>
        </w:rPr>
        <w:t>Татарстан Республикасы Министрлар Кабинеты тарафыннан – республика башкарма хакимият органнарына, Татарстан Республикасы муниципаль районнарының һәм шәһәр округларының җирле үзидарә органнарына, шулай ук билгеләнгән тәртиптә рәсми бастырып чыгаруга;</w:t>
      </w:r>
    </w:p>
    <w:p>
      <w:pPr>
        <w:pStyle w:val="Normal"/>
        <w:ind w:left="0" w:right="0" w:firstLine="709"/>
        <w:jc w:val="both"/>
        <w:rPr>
          <w:szCs w:val="28"/>
          <w:lang w:val="tt"/>
        </w:rPr>
      </w:pPr>
      <w:r>
        <w:rPr>
          <w:szCs w:val="28"/>
          <w:lang w:val="tt"/>
        </w:rPr>
        <w:t>Татарстан Республикасы Эш бирүчеләр берләшмәләренең координация советы тарафыннан – әлеге берләшмәләр составына керә торган оешмаларга;</w:t>
      </w:r>
    </w:p>
    <w:p>
      <w:pPr>
        <w:pStyle w:val="Normal"/>
        <w:tabs>
          <w:tab w:val="left" w:pos="709" w:leader="none"/>
        </w:tabs>
        <w:ind w:left="0" w:right="0" w:firstLine="709"/>
        <w:jc w:val="both"/>
        <w:rPr>
          <w:szCs w:val="28"/>
          <w:lang w:val="tt"/>
        </w:rPr>
      </w:pPr>
      <w:r>
        <w:rPr>
          <w:szCs w:val="28"/>
          <w:lang w:val="tt"/>
        </w:rPr>
        <w:t>Татарстан Республикасы Һөнәр берлекләре федерациясе тарафыннан – республика тармак һөнәр берлекләре оешмаларына, Татарстан Республикасы муниципаль берәмлекләренең һөнәр берлекләре оешмалары координация советларына, Татарстан Республикасы муниципаль районнарындагы һәм шәһәр округларындагы һөнәр берлекләре тармак комитетларына (советларына), Татарстан Республикасы предприятиеләренең, оешмаларының һәм учреждениеләренең башлангыч һөнәр берлекләре оешмаларына.</w:t>
      </w:r>
    </w:p>
    <w:p>
      <w:pPr>
        <w:pStyle w:val="ListParagraph"/>
        <w:numPr>
          <w:ilvl w:val="0"/>
          <w:numId w:val="3"/>
        </w:numPr>
        <w:tabs>
          <w:tab w:val="left" w:pos="993" w:leader="none"/>
        </w:tabs>
        <w:ind w:left="0" w:right="0" w:hanging="360"/>
        <w:jc w:val="both"/>
        <w:rPr>
          <w:szCs w:val="28"/>
          <w:lang w:val="tt"/>
        </w:rPr>
      </w:pPr>
      <w:r>
        <w:rPr>
          <w:szCs w:val="28"/>
          <w:lang w:val="tt"/>
        </w:rPr>
        <w:t>Әлеге Килешү тексты Якларның «Интернет» мәгълүмат-телекоммуникация челтәрендәге рәсми сайтларында урнаштырыла.</w:t>
      </w:r>
    </w:p>
    <w:p>
      <w:pPr>
        <w:pStyle w:val="Normal"/>
        <w:ind w:left="0" w:right="0" w:firstLine="709"/>
        <w:jc w:val="both"/>
        <w:rPr>
          <w:szCs w:val="28"/>
        </w:rPr>
      </w:pPr>
      <w:r>
        <w:rPr>
          <w:szCs w:val="28"/>
        </w:rPr>
      </w:r>
    </w:p>
    <w:p>
      <w:pPr>
        <w:pStyle w:val="Normal"/>
        <w:jc w:val="center"/>
        <w:rPr>
          <w:bCs/>
          <w:szCs w:val="28"/>
          <w:lang w:val="tt"/>
        </w:rPr>
      </w:pPr>
      <w:r>
        <w:rPr>
          <w:bCs/>
          <w:szCs w:val="28"/>
          <w:lang w:val="tt"/>
        </w:rPr>
        <w:t>9 статья</w:t>
      </w:r>
    </w:p>
    <w:p>
      <w:pPr>
        <w:pStyle w:val="Normal"/>
        <w:ind w:left="0" w:right="0" w:firstLine="709"/>
        <w:jc w:val="center"/>
        <w:rPr>
          <w:b/>
          <w:szCs w:val="28"/>
        </w:rPr>
      </w:pPr>
      <w:r>
        <w:rPr>
          <w:b/>
          <w:szCs w:val="28"/>
        </w:rPr>
      </w:r>
    </w:p>
    <w:p>
      <w:pPr>
        <w:pStyle w:val="Normal"/>
        <w:ind w:left="0" w:right="0" w:firstLine="709"/>
        <w:jc w:val="both"/>
        <w:rPr>
          <w:szCs w:val="28"/>
          <w:lang w:val="tt"/>
        </w:rPr>
      </w:pPr>
      <w:r>
        <w:rPr>
          <w:szCs w:val="28"/>
          <w:lang w:val="tt"/>
        </w:rPr>
        <w:t>5.1. Әлеге Килешүгә бер үк юридик көчкә ия булган өч, һәр Як өчен берәр нөсхәдә кул куелды.</w:t>
      </w:r>
    </w:p>
    <w:p>
      <w:pPr>
        <w:pStyle w:val="Normal"/>
        <w:ind w:left="0" w:right="0" w:firstLine="709"/>
        <w:jc w:val="both"/>
        <w:rPr>
          <w:szCs w:val="28"/>
        </w:rPr>
      </w:pPr>
      <w:r>
        <w:rPr>
          <w:szCs w:val="28"/>
        </w:rPr>
      </w:r>
    </w:p>
    <w:p>
      <w:pPr>
        <w:pStyle w:val="Normal"/>
        <w:jc w:val="center"/>
        <w:rPr>
          <w:bCs/>
          <w:szCs w:val="28"/>
          <w:lang w:val="tt"/>
        </w:rPr>
      </w:pPr>
      <w:r>
        <w:rPr>
          <w:bCs/>
          <w:szCs w:val="28"/>
          <w:lang w:val="tt"/>
        </w:rPr>
        <w:t>10 статья</w:t>
      </w:r>
    </w:p>
    <w:p>
      <w:pPr>
        <w:pStyle w:val="Normal"/>
        <w:ind w:left="0" w:right="0" w:firstLine="709"/>
        <w:jc w:val="both"/>
        <w:rPr>
          <w:szCs w:val="28"/>
        </w:rPr>
      </w:pPr>
      <w:r>
        <w:rPr>
          <w:szCs w:val="28"/>
        </w:rPr>
      </w:r>
    </w:p>
    <w:p>
      <w:pPr>
        <w:pStyle w:val="Normal"/>
        <w:ind w:left="0" w:right="0" w:firstLine="709"/>
        <w:jc w:val="both"/>
        <w:rPr>
          <w:szCs w:val="28"/>
          <w:lang w:val="tt"/>
        </w:rPr>
      </w:pPr>
      <w:r>
        <w:rPr>
          <w:szCs w:val="28"/>
          <w:lang w:val="tt"/>
        </w:rPr>
        <w:t>Әлеге Килешү 2024 елның 1 гыйнварыннан үз көченә керә һәм Татарстан Республикасында минималь хезмәт хакы турында яңа килешү үз көченә кергәнгә кадәр гамәлдә була.</w:t>
      </w:r>
    </w:p>
    <w:p>
      <w:pPr>
        <w:pStyle w:val="Normal"/>
        <w:ind w:left="0" w:right="0" w:firstLine="709"/>
        <w:jc w:val="both"/>
        <w:rPr>
          <w:b/>
          <w:szCs w:val="28"/>
        </w:rPr>
      </w:pPr>
      <w:r>
        <w:rPr>
          <w:b/>
          <w:szCs w:val="28"/>
        </w:rPr>
      </w:r>
    </w:p>
    <w:p>
      <w:pPr>
        <w:pStyle w:val="Normal"/>
        <w:spacing w:lineRule="auto" w:line="259"/>
        <w:jc w:val="center"/>
        <w:rPr>
          <w:bCs/>
          <w:szCs w:val="28"/>
          <w:lang w:val="tt"/>
        </w:rPr>
      </w:pPr>
      <w:r>
        <w:rPr>
          <w:bCs/>
          <w:szCs w:val="28"/>
          <w:lang w:val="tt"/>
        </w:rPr>
        <w:t>Якларның имзалары:</w:t>
      </w:r>
    </w:p>
    <w:p>
      <w:pPr>
        <w:pStyle w:val="Normal"/>
        <w:spacing w:lineRule="auto" w:line="259"/>
        <w:jc w:val="center"/>
        <w:rPr>
          <w:b/>
          <w:szCs w:val="28"/>
        </w:rPr>
      </w:pPr>
      <w:r>
        <w:rPr>
          <w:b/>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117"/>
        <w:gridCol w:w="3288"/>
        <w:gridCol w:w="3687"/>
      </w:tblGrid>
      <w:tr>
        <w:trPr>
          <w:trHeight w:val="1541" w:hRule="atLeast"/>
          <w:cantSplit w:val="false"/>
        </w:trPr>
        <w:tc>
          <w:tcPr>
            <w:tcW w:w="3117" w:type="dxa"/>
            <w:tcBorders>
              <w:top w:val="nil"/>
              <w:left w:val="nil"/>
              <w:bottom w:val="nil"/>
              <w:insideH w:val="nil"/>
              <w:right w:val="nil"/>
              <w:insideV w:val="nil"/>
            </w:tcBorders>
            <w:shd w:fill="FFFFFF" w:val="clear"/>
          </w:tcPr>
          <w:p>
            <w:pPr>
              <w:pStyle w:val="Normal"/>
              <w:spacing w:lineRule="auto" w:line="259"/>
              <w:rPr>
                <w:szCs w:val="28"/>
                <w:lang w:val="tt"/>
              </w:rPr>
            </w:pPr>
            <w:r>
              <w:rPr>
                <w:szCs w:val="28"/>
                <w:lang w:val="tt"/>
              </w:rPr>
              <w:t>Татарстан Республикасы Премьер-министры</w:t>
            </w:r>
          </w:p>
        </w:tc>
        <w:tc>
          <w:tcPr>
            <w:tcW w:w="3288" w:type="dxa"/>
            <w:tcBorders>
              <w:top w:val="nil"/>
              <w:left w:val="nil"/>
              <w:bottom w:val="nil"/>
              <w:insideH w:val="nil"/>
              <w:right w:val="nil"/>
              <w:insideV w:val="nil"/>
            </w:tcBorders>
            <w:shd w:fill="FFFFFF" w:val="clear"/>
          </w:tcPr>
          <w:p>
            <w:pPr>
              <w:pStyle w:val="Normal"/>
              <w:spacing w:lineRule="auto" w:line="259"/>
              <w:ind w:left="0" w:right="-237" w:hanging="0"/>
              <w:rPr>
                <w:szCs w:val="28"/>
                <w:lang w:val="tt"/>
              </w:rPr>
            </w:pPr>
            <w:r>
              <w:rPr>
                <w:szCs w:val="28"/>
                <w:lang w:val="tt"/>
              </w:rPr>
              <w:t>Татарстан Республикасының Һөнәр берлекләре федерациясе рәисе</w:t>
            </w:r>
          </w:p>
          <w:p>
            <w:pPr>
              <w:pStyle w:val="Normal"/>
              <w:spacing w:lineRule="auto" w:line="259"/>
              <w:jc w:val="both"/>
              <w:rPr>
                <w:szCs w:val="28"/>
              </w:rPr>
            </w:pPr>
            <w:r>
              <w:rPr>
                <w:szCs w:val="28"/>
              </w:rPr>
            </w:r>
          </w:p>
          <w:p>
            <w:pPr>
              <w:pStyle w:val="Normal"/>
              <w:spacing w:lineRule="auto" w:line="259"/>
              <w:jc w:val="both"/>
              <w:rPr>
                <w:szCs w:val="28"/>
              </w:rPr>
            </w:pPr>
            <w:r>
              <w:rPr>
                <w:szCs w:val="28"/>
              </w:rPr>
            </w:r>
          </w:p>
          <w:p>
            <w:pPr>
              <w:pStyle w:val="Normal"/>
              <w:spacing w:lineRule="auto" w:line="259"/>
              <w:jc w:val="both"/>
              <w:rPr>
                <w:szCs w:val="28"/>
              </w:rPr>
            </w:pPr>
            <w:r>
              <w:rPr>
                <w:szCs w:val="28"/>
              </w:rPr>
              <w:t xml:space="preserve"> </w:t>
            </w:r>
          </w:p>
        </w:tc>
        <w:tc>
          <w:tcPr>
            <w:tcW w:w="3687" w:type="dxa"/>
            <w:tcBorders>
              <w:top w:val="nil"/>
              <w:left w:val="nil"/>
              <w:bottom w:val="nil"/>
              <w:insideH w:val="nil"/>
              <w:right w:val="nil"/>
              <w:insideV w:val="nil"/>
            </w:tcBorders>
            <w:shd w:fill="FFFFFF" w:val="clear"/>
          </w:tcPr>
          <w:p>
            <w:pPr>
              <w:pStyle w:val="Normal"/>
              <w:spacing w:lineRule="auto" w:line="259"/>
              <w:jc w:val="both"/>
              <w:rPr>
                <w:szCs w:val="28"/>
                <w:lang w:val="tt"/>
              </w:rPr>
            </w:pPr>
            <w:r>
              <w:rPr>
                <w:szCs w:val="28"/>
                <w:lang w:val="tt"/>
              </w:rPr>
              <w:t xml:space="preserve">Татарстан Республикасы Эш бирүчеләр берләшмәләренең координация советы рәисе </w:t>
            </w:r>
          </w:p>
        </w:tc>
      </w:tr>
      <w:tr>
        <w:trPr>
          <w:trHeight w:val="80" w:hRule="atLeast"/>
          <w:cantSplit w:val="false"/>
        </w:trPr>
        <w:tc>
          <w:tcPr>
            <w:tcW w:w="3117" w:type="dxa"/>
            <w:tcBorders>
              <w:top w:val="nil"/>
              <w:left w:val="nil"/>
              <w:bottom w:val="nil"/>
              <w:insideH w:val="nil"/>
              <w:right w:val="nil"/>
              <w:insideV w:val="nil"/>
            </w:tcBorders>
            <w:shd w:fill="FFFFFF" w:val="clear"/>
          </w:tcPr>
          <w:p>
            <w:pPr>
              <w:pStyle w:val="Normal"/>
              <w:spacing w:lineRule="auto" w:line="259"/>
              <w:ind w:left="0" w:right="-247" w:hanging="0"/>
              <w:jc w:val="both"/>
              <w:rPr>
                <w:szCs w:val="28"/>
                <w:lang w:val="tt"/>
              </w:rPr>
            </w:pPr>
            <w:r>
              <w:rPr>
                <w:szCs w:val="28"/>
                <w:lang w:val="tt"/>
              </w:rPr>
              <w:t xml:space="preserve"> </w:t>
            </w:r>
            <w:r>
              <w:rPr>
                <w:szCs w:val="28"/>
                <w:lang w:val="tt"/>
              </w:rPr>
              <w:t>_______ А.В.Песошин</w:t>
            </w:r>
          </w:p>
        </w:tc>
        <w:tc>
          <w:tcPr>
            <w:tcW w:w="3288" w:type="dxa"/>
            <w:tcBorders>
              <w:top w:val="nil"/>
              <w:left w:val="nil"/>
              <w:bottom w:val="nil"/>
              <w:insideH w:val="nil"/>
              <w:right w:val="nil"/>
              <w:insideV w:val="nil"/>
            </w:tcBorders>
            <w:shd w:fill="FFFFFF" w:val="clear"/>
          </w:tcPr>
          <w:p>
            <w:pPr>
              <w:pStyle w:val="Normal"/>
              <w:spacing w:lineRule="auto" w:line="259"/>
              <w:jc w:val="both"/>
              <w:rPr>
                <w:szCs w:val="28"/>
                <w:lang w:val="tt"/>
              </w:rPr>
            </w:pPr>
            <w:r>
              <w:rPr>
                <w:szCs w:val="28"/>
                <w:lang w:val="tt"/>
              </w:rPr>
              <w:t xml:space="preserve"> </w:t>
            </w:r>
            <w:r>
              <w:rPr>
                <w:szCs w:val="28"/>
                <w:lang w:val="tt"/>
              </w:rPr>
              <w:t>______Е.И.Кузьмичева</w:t>
            </w:r>
          </w:p>
        </w:tc>
        <w:tc>
          <w:tcPr>
            <w:tcW w:w="3687" w:type="dxa"/>
            <w:tcBorders>
              <w:top w:val="nil"/>
              <w:left w:val="nil"/>
              <w:bottom w:val="nil"/>
              <w:insideH w:val="nil"/>
              <w:right w:val="nil"/>
              <w:insideV w:val="nil"/>
            </w:tcBorders>
            <w:shd w:fill="FFFFFF" w:val="clear"/>
          </w:tcPr>
          <w:p>
            <w:pPr>
              <w:pStyle w:val="Normal"/>
              <w:spacing w:lineRule="auto" w:line="259"/>
              <w:jc w:val="both"/>
              <w:rPr>
                <w:szCs w:val="28"/>
                <w:lang w:val="tt"/>
              </w:rPr>
            </w:pPr>
            <w:r>
              <w:rPr>
                <w:szCs w:val="28"/>
                <w:lang w:val="tt"/>
              </w:rPr>
              <w:t xml:space="preserve"> </w:t>
            </w:r>
            <w:r>
              <w:rPr>
                <w:szCs w:val="28"/>
                <w:lang w:val="tt"/>
              </w:rPr>
              <w:t>________ А.П.Лаврентьев</w:t>
            </w:r>
          </w:p>
        </w:tc>
      </w:tr>
    </w:tbl>
    <w:p>
      <w:pPr>
        <w:pStyle w:val="Normal"/>
        <w:spacing w:lineRule="auto" w:line="259"/>
        <w:jc w:val="both"/>
        <w:rPr/>
      </w:pPr>
      <w:r>
        <w:rPr/>
      </w:r>
    </w:p>
    <w:sectPr>
      <w:headerReference w:type="default" r:id="rId5"/>
      <w:headerReference w:type="first" r:id="rId6"/>
      <w:footerReference w:type="default" r:id="rId7"/>
      <w:footerReference w:type="first" r:id="rId8"/>
      <w:type w:val="nextPage"/>
      <w:pgSz w:w="11906" w:h="16838"/>
      <w:pgMar w:left="1134" w:right="567" w:header="510" w:top="1134" w:footer="709"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Verdan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99" w:hanging="990"/>
      </w:pPr>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36fbc"/>
    <w:pPr>
      <w:widowControl/>
      <w:suppressAutoHyphens w:val="true"/>
      <w:bidi w:val="0"/>
      <w:jc w:val="left"/>
    </w:pPr>
    <w:rPr>
      <w:rFonts w:ascii="Times New Roman" w:hAnsi="Times New Roman" w:eastAsia="Times New Roman" w:cs="Times New Roman"/>
      <w:color w:val="auto"/>
      <w:sz w:val="28"/>
      <w:szCs w:val="20"/>
      <w:lang w:eastAsia="ru-RU" w:val="ru-RU" w:bidi="ar-SA"/>
    </w:rPr>
  </w:style>
  <w:style w:type="paragraph" w:styleId="1">
    <w:name w:val="Заголовок 1"/>
    <w:qFormat/>
    <w:link w:val="10"/>
    <w:rsid w:val="00336fbc"/>
    <w:basedOn w:val="Normal"/>
    <w:pPr>
      <w:keepNext/>
      <w:outlineLvl w:val="0"/>
    </w:pPr>
    <w:rPr>
      <w:b/>
      <w:bCs/>
    </w:rPr>
  </w:style>
  <w:style w:type="paragraph" w:styleId="2">
    <w:name w:val="Заголовок 2"/>
    <w:uiPriority w:val="9"/>
    <w:qFormat/>
    <w:unhideWhenUsed/>
    <w:link w:val="20"/>
    <w:rsid w:val="000657c9"/>
    <w:basedOn w:val="Normal"/>
    <w:pPr>
      <w:keepNext/>
      <w:keepLines/>
      <w:spacing w:before="40" w:after="0"/>
      <w:outlineLvl w:val="1"/>
    </w:pPr>
    <w:rPr>
      <w:rFonts w:ascii="Cambria" w:hAnsi="Cambria" w:cs=""/>
      <w:color w:val="365F91"/>
      <w:sz w:val="26"/>
      <w:szCs w:val="26"/>
    </w:rPr>
  </w:style>
  <w:style w:type="paragraph" w:styleId="3">
    <w:name w:val="Заголовок 3"/>
    <w:uiPriority w:val="9"/>
    <w:qFormat/>
    <w:semiHidden/>
    <w:unhideWhenUsed/>
    <w:link w:val="30"/>
    <w:rsid w:val="000657c9"/>
    <w:basedOn w:val="Normal"/>
    <w:pPr>
      <w:keepNext/>
      <w:keepLines/>
      <w:spacing w:before="40" w:after="0"/>
      <w:outlineLvl w:val="2"/>
    </w:pPr>
    <w:rPr>
      <w:rFonts w:ascii="Cambria" w:hAnsi="Cambria" w:cs=""/>
      <w:color w:val="243F60"/>
      <w:sz w:val="24"/>
      <w:szCs w:val="24"/>
    </w:rPr>
  </w:style>
  <w:style w:type="character" w:styleId="DefaultParagraphFont" w:default="1">
    <w:name w:val="Default Paragraph Font"/>
    <w:uiPriority w:val="1"/>
    <w:semiHidden/>
    <w:unhideWhenUsed/>
    <w:rPr/>
  </w:style>
  <w:style w:type="character" w:styleId="Style11" w:customStyle="1">
    <w:name w:val="Основной текст Знак"/>
    <w:link w:val="a3"/>
    <w:rsid w:val="00336fbc"/>
    <w:basedOn w:val="DefaultParagraphFont"/>
    <w:rPr>
      <w:rFonts w:ascii="Times New Roman" w:hAnsi="Times New Roman" w:eastAsia="Times New Roman" w:cs="Times New Roman"/>
      <w:b/>
      <w:bCs/>
      <w:sz w:val="28"/>
      <w:szCs w:val="20"/>
      <w:lang w:eastAsia="ru-RU"/>
    </w:rPr>
  </w:style>
  <w:style w:type="character" w:styleId="Style12" w:customStyle="1">
    <w:name w:val="Текст выноски Знак"/>
    <w:uiPriority w:val="99"/>
    <w:semiHidden/>
    <w:link w:val="a5"/>
    <w:rsid w:val="00336fbc"/>
    <w:basedOn w:val="DefaultParagraphFont"/>
    <w:rPr>
      <w:rFonts w:ascii="Tahoma" w:hAnsi="Tahoma" w:eastAsia="Times New Roman" w:cs="Tahoma"/>
      <w:sz w:val="16"/>
      <w:szCs w:val="16"/>
      <w:lang w:eastAsia="ru-RU"/>
    </w:rPr>
  </w:style>
  <w:style w:type="character" w:styleId="11" w:customStyle="1">
    <w:name w:val="Заголовок 1 Знак"/>
    <w:link w:val="1"/>
    <w:rsid w:val="00336fbc"/>
    <w:basedOn w:val="DefaultParagraphFont"/>
    <w:rPr>
      <w:rFonts w:ascii="Times New Roman" w:hAnsi="Times New Roman" w:eastAsia="Times New Roman" w:cs="Times New Roman"/>
      <w:b/>
      <w:bCs/>
      <w:sz w:val="28"/>
      <w:szCs w:val="20"/>
      <w:lang w:eastAsia="ru-RU"/>
    </w:rPr>
  </w:style>
  <w:style w:type="character" w:styleId="Hide" w:customStyle="1">
    <w:name w:val="hide"/>
    <w:rsid w:val="00433ddb"/>
    <w:basedOn w:val="DefaultParagraphFont"/>
    <w:rPr/>
  </w:style>
  <w:style w:type="character" w:styleId="Show" w:customStyle="1">
    <w:name w:val="show"/>
    <w:rsid w:val="00433ddb"/>
    <w:basedOn w:val="DefaultParagraphFont"/>
    <w:rPr/>
  </w:style>
  <w:style w:type="character" w:styleId="Hint1" w:customStyle="1">
    <w:name w:val="hint1"/>
    <w:rsid w:val="00433ddb"/>
    <w:basedOn w:val="DefaultParagraphFont"/>
    <w:rPr>
      <w:color w:val="999999"/>
    </w:rPr>
  </w:style>
  <w:style w:type="character" w:styleId="Style13">
    <w:name w:val="Интернет-ссылка"/>
    <w:uiPriority w:val="99"/>
    <w:unhideWhenUsed/>
    <w:rsid w:val="00df59d3"/>
    <w:basedOn w:val="DefaultParagraphFont"/>
    <w:rPr>
      <w:rFonts w:ascii="Verdana" w:hAnsi="Verdana"/>
      <w:color w:val="0033CC"/>
      <w:u w:val="single"/>
      <w:lang w:val="zxx" w:eastAsia="zxx" w:bidi="zxx"/>
    </w:rPr>
  </w:style>
  <w:style w:type="character" w:styleId="12" w:customStyle="1">
    <w:name w:val="Неразрешенное упоминание1"/>
    <w:uiPriority w:val="99"/>
    <w:semiHidden/>
    <w:unhideWhenUsed/>
    <w:rsid w:val="000c077e"/>
    <w:basedOn w:val="DefaultParagraphFont"/>
    <w:rPr>
      <w:color w:val="605E5C"/>
      <w:shd w:fill="E1DFDD" w:val="clear"/>
    </w:rPr>
  </w:style>
  <w:style w:type="character" w:styleId="21" w:customStyle="1">
    <w:name w:val="Заголовок 2 Знак"/>
    <w:uiPriority w:val="9"/>
    <w:link w:val="2"/>
    <w:rsid w:val="000657c9"/>
    <w:basedOn w:val="DefaultParagraphFont"/>
    <w:rPr>
      <w:rFonts w:ascii="Cambria" w:hAnsi="Cambria" w:cs=""/>
      <w:color w:val="365F91"/>
      <w:sz w:val="26"/>
      <w:szCs w:val="26"/>
      <w:lang w:eastAsia="ru-RU"/>
    </w:rPr>
  </w:style>
  <w:style w:type="character" w:styleId="31" w:customStyle="1">
    <w:name w:val="Заголовок 3 Знак"/>
    <w:uiPriority w:val="9"/>
    <w:semiHidden/>
    <w:link w:val="3"/>
    <w:rsid w:val="000657c9"/>
    <w:basedOn w:val="DefaultParagraphFont"/>
    <w:rPr>
      <w:rFonts w:ascii="Cambria" w:hAnsi="Cambria" w:cs=""/>
      <w:color w:val="243F60"/>
      <w:sz w:val="24"/>
      <w:szCs w:val="24"/>
      <w:lang w:eastAsia="ru-RU"/>
    </w:rPr>
  </w:style>
  <w:style w:type="character" w:styleId="22" w:customStyle="1">
    <w:name w:val="Неразрешенное упоминание2"/>
    <w:uiPriority w:val="99"/>
    <w:semiHidden/>
    <w:unhideWhenUsed/>
    <w:rsid w:val="00a55bc9"/>
    <w:basedOn w:val="DefaultParagraphFont"/>
    <w:rPr>
      <w:color w:val="605E5C"/>
      <w:shd w:fill="E1DFDD" w:val="clear"/>
    </w:rPr>
  </w:style>
  <w:style w:type="character" w:styleId="Style14" w:customStyle="1">
    <w:name w:val="Верхний колонтитул Знак"/>
    <w:uiPriority w:val="99"/>
    <w:link w:val="aa"/>
    <w:rsid w:val="007b60e8"/>
    <w:basedOn w:val="DefaultParagraphFont"/>
    <w:rPr>
      <w:rFonts w:ascii="Times New Roman" w:hAnsi="Times New Roman" w:eastAsia="Times New Roman" w:cs="Times New Roman"/>
      <w:sz w:val="28"/>
      <w:szCs w:val="20"/>
      <w:lang w:eastAsia="ru-RU"/>
    </w:rPr>
  </w:style>
  <w:style w:type="character" w:styleId="Style15" w:customStyle="1">
    <w:name w:val="Нижний колонтитул Знак"/>
    <w:uiPriority w:val="99"/>
    <w:link w:val="ac"/>
    <w:rsid w:val="007b60e8"/>
    <w:basedOn w:val="DefaultParagraphFont"/>
    <w:rPr>
      <w:rFonts w:ascii="Times New Roman" w:hAnsi="Times New Roman" w:eastAsia="Times New Roman" w:cs="Times New Roman"/>
      <w:sz w:val="28"/>
      <w:szCs w:val="20"/>
      <w:lang w:eastAsia="ru-RU"/>
    </w:rPr>
  </w:style>
  <w:style w:type="character" w:styleId="ListLabel1">
    <w:name w:val="ListLabel 1"/>
    <w:rPr>
      <w:sz w:val="20"/>
    </w:rPr>
  </w:style>
  <w:style w:type="character" w:styleId="ListLabel2">
    <w:name w:val="ListLabel 2"/>
    <w:rPr>
      <w:rFonts w:eastAsia="Times New Roman"/>
    </w:rPr>
  </w:style>
  <w:style w:type="character" w:styleId="ListLabel3">
    <w:name w:val="ListLabel 3"/>
    <w:rPr>
      <w:rFonts w:eastAsia="Times New Roman"/>
      <w:color w:val="00000A"/>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link w:val="a4"/>
    <w:rsid w:val="00336fbc"/>
    <w:basedOn w:val="Normal"/>
    <w:pPr>
      <w:spacing w:lineRule="auto" w:line="288"/>
      <w:jc w:val="center"/>
    </w:pPr>
    <w:rPr>
      <w:b/>
      <w:bCs/>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BalloonText">
    <w:name w:val="Balloon Text"/>
    <w:uiPriority w:val="99"/>
    <w:semiHidden/>
    <w:unhideWhenUsed/>
    <w:link w:val="a6"/>
    <w:rsid w:val="00336fbc"/>
    <w:basedOn w:val="Normal"/>
    <w:pPr/>
    <w:rPr>
      <w:rFonts w:ascii="Tahoma" w:hAnsi="Tahoma" w:cs="Tahoma"/>
      <w:sz w:val="16"/>
      <w:szCs w:val="16"/>
    </w:rPr>
  </w:style>
  <w:style w:type="paragraph" w:styleId="NoSpacing">
    <w:name w:val="No Spacing"/>
    <w:uiPriority w:val="1"/>
    <w:qFormat/>
    <w:rsid w:val="005e3741"/>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ListParagraph">
    <w:name w:val="List Paragraph"/>
    <w:uiPriority w:val="34"/>
    <w:qFormat/>
    <w:rsid w:val="00aa1aad"/>
    <w:basedOn w:val="Normal"/>
    <w:pPr>
      <w:spacing w:before="0" w:after="0"/>
      <w:ind w:left="720" w:right="0" w:hanging="0"/>
      <w:contextualSpacing/>
    </w:pPr>
    <w:rPr/>
  </w:style>
  <w:style w:type="paragraph" w:styleId="Style21">
    <w:name w:val="Верхний колонтитул"/>
    <w:uiPriority w:val="99"/>
    <w:unhideWhenUsed/>
    <w:link w:val="ab"/>
    <w:rsid w:val="007b60e8"/>
    <w:basedOn w:val="Normal"/>
    <w:pPr>
      <w:tabs>
        <w:tab w:val="center" w:pos="4677" w:leader="none"/>
        <w:tab w:val="right" w:pos="9355" w:leader="none"/>
      </w:tabs>
    </w:pPr>
    <w:rPr/>
  </w:style>
  <w:style w:type="paragraph" w:styleId="Style22">
    <w:name w:val="Нижний колонтитул"/>
    <w:uiPriority w:val="99"/>
    <w:unhideWhenUsed/>
    <w:link w:val="ad"/>
    <w:rsid w:val="007b60e8"/>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D007C1479581079B11E1A5DB7687E47F8D81B3BC6D51B791AAA25BE572466AFD07C98AADDC16b371G"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2024-01-16T07:17:00Z</dcterms:created>
  <dc:creator>Николаева</dc:creator>
  <dc:language>ru-RU</dc:language>
  <cp:lastModifiedBy>Сабурская А.В.</cp:lastModifiedBy>
  <cp:lastPrinted>2023-10-02T12:52:00Z</cp:lastPrinted>
  <dcterms:modified xsi:type="dcterms:W3CDTF">2024-01-16T07:17:00Z</dcterms:modified>
  <cp:revision>2</cp:revision>
</cp:coreProperties>
</file>